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A43B" w14:textId="4EB0721E" w:rsidR="002C74EB" w:rsidRPr="000F53C8" w:rsidRDefault="002C74EB" w:rsidP="00033040">
      <w:pPr>
        <w:rPr>
          <w:lang w:val="en-GB"/>
        </w:rPr>
      </w:pPr>
    </w:p>
    <w:p w14:paraId="3C86FF74" w14:textId="77777777" w:rsidR="00CA78F2" w:rsidRPr="000F53C8" w:rsidRDefault="00CA78F2" w:rsidP="00CA78F2">
      <w:pPr>
        <w:pStyle w:val="Title"/>
        <w:rPr>
          <w:sz w:val="40"/>
          <w:szCs w:val="40"/>
          <w:lang w:val="en-GB"/>
        </w:rPr>
      </w:pPr>
      <w:r w:rsidRPr="000F53C8">
        <w:rPr>
          <w:sz w:val="40"/>
          <w:szCs w:val="40"/>
          <w:lang w:val="en-GB"/>
        </w:rPr>
        <w:t>Design Phase of the Joint Project around the Senegal Mauritanian Aquifer Basin led by the Regional Working Group</w:t>
      </w:r>
    </w:p>
    <w:p w14:paraId="2202DF6E" w14:textId="77777777" w:rsidR="00CA78F2" w:rsidRPr="000F53C8" w:rsidRDefault="00CA78F2" w:rsidP="00CA78F2">
      <w:pPr>
        <w:ind w:left="0"/>
        <w:rPr>
          <w:lang w:val="en-GB"/>
        </w:rPr>
      </w:pPr>
    </w:p>
    <w:p w14:paraId="63425414" w14:textId="77777777" w:rsidR="00CA78F2" w:rsidRPr="000F53C8" w:rsidRDefault="00CA78F2" w:rsidP="00CA78F2">
      <w:pPr>
        <w:rPr>
          <w:lang w:val="en-GB"/>
        </w:rPr>
      </w:pPr>
    </w:p>
    <w:p w14:paraId="02A06A4C" w14:textId="03BE617B" w:rsidR="00CA78F2" w:rsidRPr="000F53C8" w:rsidRDefault="00CA78F2" w:rsidP="00CA78F2">
      <w:pPr>
        <w:pStyle w:val="Title"/>
        <w:rPr>
          <w:sz w:val="52"/>
          <w:szCs w:val="52"/>
          <w:lang w:val="en-GB"/>
        </w:rPr>
      </w:pPr>
      <w:r w:rsidRPr="000F53C8">
        <w:rPr>
          <w:sz w:val="52"/>
          <w:szCs w:val="52"/>
          <w:lang w:val="en-GB"/>
        </w:rPr>
        <w:t xml:space="preserve">Deliverable number </w:t>
      </w:r>
      <w:r w:rsidR="000C649E" w:rsidRPr="000F53C8">
        <w:rPr>
          <w:sz w:val="52"/>
          <w:szCs w:val="52"/>
          <w:lang w:val="en-GB"/>
        </w:rPr>
        <w:t>5</w:t>
      </w:r>
      <w:r w:rsidRPr="000F53C8">
        <w:rPr>
          <w:sz w:val="52"/>
          <w:szCs w:val="52"/>
          <w:lang w:val="en-GB"/>
        </w:rPr>
        <w:t xml:space="preserve">: </w:t>
      </w:r>
    </w:p>
    <w:p w14:paraId="5F1A8FB8" w14:textId="75979769" w:rsidR="00CA78F2" w:rsidRPr="000F53C8" w:rsidRDefault="00CA78F2" w:rsidP="00CA78F2">
      <w:pPr>
        <w:pStyle w:val="Title"/>
        <w:rPr>
          <w:sz w:val="52"/>
          <w:szCs w:val="52"/>
          <w:lang w:val="en-GB"/>
        </w:rPr>
      </w:pPr>
      <w:r w:rsidRPr="000F53C8">
        <w:rPr>
          <w:rFonts w:cstheme="majorHAnsi"/>
          <w:sz w:val="52"/>
          <w:szCs w:val="52"/>
          <w:lang w:val="en-GB"/>
        </w:rPr>
        <w:t xml:space="preserve">Report </w:t>
      </w:r>
      <w:r w:rsidRPr="000F53C8">
        <w:rPr>
          <w:sz w:val="52"/>
          <w:szCs w:val="52"/>
          <w:lang w:val="en-GB"/>
        </w:rPr>
        <w:t xml:space="preserve">on </w:t>
      </w:r>
      <w:r w:rsidR="000C649E" w:rsidRPr="000F53C8">
        <w:rPr>
          <w:sz w:val="52"/>
          <w:szCs w:val="52"/>
          <w:lang w:val="en-GB"/>
        </w:rPr>
        <w:t>capacity assessment</w:t>
      </w:r>
    </w:p>
    <w:p w14:paraId="190862D6" w14:textId="77777777" w:rsidR="00CA78F2" w:rsidRPr="000F53C8" w:rsidRDefault="00CA78F2" w:rsidP="00CA78F2">
      <w:pPr>
        <w:rPr>
          <w:lang w:val="en-GB"/>
        </w:rPr>
      </w:pPr>
    </w:p>
    <w:p w14:paraId="159CB7FC" w14:textId="77777777" w:rsidR="00CA78F2" w:rsidRPr="000F53C8" w:rsidRDefault="00CA78F2" w:rsidP="00CA78F2">
      <w:pPr>
        <w:rPr>
          <w:lang w:val="en-GB"/>
        </w:rPr>
      </w:pPr>
    </w:p>
    <w:p w14:paraId="384AF71E" w14:textId="77777777" w:rsidR="00CA78F2" w:rsidRPr="000F53C8" w:rsidRDefault="00CA78F2" w:rsidP="00CA78F2">
      <w:pPr>
        <w:rPr>
          <w:lang w:val="en-GB"/>
        </w:rPr>
      </w:pPr>
    </w:p>
    <w:p w14:paraId="2EF7190F" w14:textId="4AB8525A" w:rsidR="00CA78F2" w:rsidRPr="000F53C8" w:rsidRDefault="00CA78F2" w:rsidP="00CA78F2">
      <w:pPr>
        <w:rPr>
          <w:sz w:val="24"/>
          <w:lang w:val="en-GB"/>
        </w:rPr>
      </w:pPr>
      <w:r w:rsidRPr="000F53C8">
        <w:rPr>
          <w:sz w:val="24"/>
          <w:lang w:val="en-GB"/>
        </w:rPr>
        <w:t>DOCUMENT STATUS: APPROV</w:t>
      </w:r>
      <w:r w:rsidR="001F715E">
        <w:rPr>
          <w:sz w:val="24"/>
          <w:lang w:val="en-GB"/>
        </w:rPr>
        <w:t>ED</w:t>
      </w:r>
      <w:r w:rsidRPr="000F53C8">
        <w:rPr>
          <w:sz w:val="24"/>
          <w:lang w:val="en-GB"/>
        </w:rPr>
        <w:t xml:space="preserve"> BY THE REGIONAL WORKING GROUP</w:t>
      </w:r>
    </w:p>
    <w:p w14:paraId="6438A449" w14:textId="6CF1701D" w:rsidR="003A349F" w:rsidRPr="000F53C8" w:rsidRDefault="003A349F" w:rsidP="00540799">
      <w:pPr>
        <w:rPr>
          <w:lang w:val="en-GB"/>
        </w:rPr>
      </w:pPr>
    </w:p>
    <w:p w14:paraId="32A644FC" w14:textId="0BE301BC" w:rsidR="00D9194E" w:rsidRPr="000F53C8" w:rsidRDefault="00C83D85" w:rsidP="00DE57B3">
      <w:pPr>
        <w:tabs>
          <w:tab w:val="left" w:pos="2637"/>
        </w:tabs>
        <w:rPr>
          <w:lang w:val="en-GB"/>
        </w:rPr>
      </w:pPr>
      <w:r w:rsidRPr="000F53C8">
        <w:rPr>
          <w:lang w:val="en-GB"/>
        </w:rPr>
        <w:tab/>
      </w:r>
    </w:p>
    <w:tbl>
      <w:tblPr>
        <w:tblW w:w="10164" w:type="dxa"/>
        <w:tblInd w:w="-567" w:type="dxa"/>
        <w:tblLayout w:type="fixed"/>
        <w:tblLook w:val="04A0" w:firstRow="1" w:lastRow="0" w:firstColumn="1" w:lastColumn="0" w:noHBand="0" w:noVBand="1"/>
      </w:tblPr>
      <w:tblGrid>
        <w:gridCol w:w="3256"/>
        <w:gridCol w:w="3221"/>
        <w:gridCol w:w="3687"/>
      </w:tblGrid>
      <w:tr w:rsidR="009B7835" w:rsidRPr="000F53C8" w14:paraId="268926F8" w14:textId="77777777" w:rsidTr="00EC6353">
        <w:trPr>
          <w:trHeight w:val="2041"/>
        </w:trPr>
        <w:tc>
          <w:tcPr>
            <w:tcW w:w="3256" w:type="dxa"/>
            <w:shd w:val="clear" w:color="auto" w:fill="auto"/>
            <w:vAlign w:val="center"/>
          </w:tcPr>
          <w:p w14:paraId="18C0659F" w14:textId="77777777" w:rsidR="009B7835" w:rsidRPr="000F53C8" w:rsidRDefault="009B7835" w:rsidP="00EC6353">
            <w:pPr>
              <w:pStyle w:val="Header"/>
              <w:spacing w:before="0" w:after="0"/>
              <w:ind w:left="0"/>
              <w:jc w:val="left"/>
              <w:rPr>
                <w:sz w:val="12"/>
                <w:szCs w:val="12"/>
                <w:lang w:val="en-GB"/>
              </w:rPr>
            </w:pPr>
            <w:r w:rsidRPr="000F53C8">
              <w:rPr>
                <w:noProof/>
                <w:lang w:eastAsia="fr-CH"/>
              </w:rPr>
              <w:drawing>
                <wp:anchor distT="0" distB="0" distL="114300" distR="114300" simplePos="0" relativeHeight="251660288" behindDoc="1" locked="0" layoutInCell="1" allowOverlap="1" wp14:anchorId="12369807" wp14:editId="47183081">
                  <wp:simplePos x="0" y="0"/>
                  <wp:positionH relativeFrom="column">
                    <wp:posOffset>-18415</wp:posOffset>
                  </wp:positionH>
                  <wp:positionV relativeFrom="paragraph">
                    <wp:posOffset>17780</wp:posOffset>
                  </wp:positionV>
                  <wp:extent cx="1828800" cy="558800"/>
                  <wp:effectExtent l="0" t="0" r="0" b="0"/>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53C8">
              <w:rPr>
                <w:noProof/>
                <w:lang w:eastAsia="fr-CH"/>
              </w:rPr>
              <w:drawing>
                <wp:anchor distT="0" distB="0" distL="114300" distR="114300" simplePos="0" relativeHeight="251661312" behindDoc="1" locked="0" layoutInCell="1" allowOverlap="1" wp14:anchorId="7DFA99F7" wp14:editId="11F19CAF">
                  <wp:simplePos x="0" y="0"/>
                  <wp:positionH relativeFrom="column">
                    <wp:posOffset>36830</wp:posOffset>
                  </wp:positionH>
                  <wp:positionV relativeFrom="paragraph">
                    <wp:posOffset>813435</wp:posOffset>
                  </wp:positionV>
                  <wp:extent cx="1390650" cy="420370"/>
                  <wp:effectExtent l="0" t="0" r="0" b="0"/>
                  <wp:wrapTight wrapText="bothSides">
                    <wp:wrapPolygon edited="0">
                      <wp:start x="296" y="0"/>
                      <wp:lineTo x="0" y="2937"/>
                      <wp:lineTo x="0" y="14683"/>
                      <wp:lineTo x="1479" y="20556"/>
                      <wp:lineTo x="2367" y="20556"/>
                      <wp:lineTo x="5918" y="20556"/>
                      <wp:lineTo x="21304" y="16640"/>
                      <wp:lineTo x="21304" y="6852"/>
                      <wp:lineTo x="7989" y="0"/>
                      <wp:lineTo x="2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420370"/>
                          </a:xfrm>
                          <a:prstGeom prst="rect">
                            <a:avLst/>
                          </a:prstGeom>
                          <a:noFill/>
                        </pic:spPr>
                      </pic:pic>
                    </a:graphicData>
                  </a:graphic>
                  <wp14:sizeRelH relativeFrom="margin">
                    <wp14:pctWidth>0</wp14:pctWidth>
                  </wp14:sizeRelH>
                  <wp14:sizeRelV relativeFrom="margin">
                    <wp14:pctHeight>0</wp14:pctHeight>
                  </wp14:sizeRelV>
                </wp:anchor>
              </w:drawing>
            </w:r>
            <w:r w:rsidRPr="000F53C8">
              <w:rPr>
                <w:lang w:val="en-GB"/>
              </w:rPr>
              <w:br/>
            </w:r>
          </w:p>
        </w:tc>
        <w:tc>
          <w:tcPr>
            <w:tcW w:w="3221" w:type="dxa"/>
          </w:tcPr>
          <w:p w14:paraId="280747D3" w14:textId="77777777" w:rsidR="009B7835" w:rsidRPr="000F53C8" w:rsidRDefault="009B7835" w:rsidP="00EC6353">
            <w:pPr>
              <w:pStyle w:val="Header"/>
              <w:spacing w:before="0" w:after="0"/>
              <w:ind w:left="0"/>
              <w:jc w:val="center"/>
              <w:rPr>
                <w:rFonts w:ascii="TheSans-Caps" w:hAnsi="TheSans-Caps"/>
                <w:sz w:val="18"/>
                <w:szCs w:val="16"/>
                <w:lang w:val="en-GB" w:eastAsia="fr-CH"/>
              </w:rPr>
            </w:pPr>
            <w:r w:rsidRPr="000F53C8">
              <w:rPr>
                <w:rFonts w:ascii="TheSans-Caps" w:hAnsi="TheSans-Caps"/>
                <w:noProof/>
                <w:sz w:val="18"/>
                <w:szCs w:val="16"/>
                <w:lang w:eastAsia="fr-CH"/>
              </w:rPr>
              <w:drawing>
                <wp:inline distT="0" distB="0" distL="0" distR="0" wp14:anchorId="7D14941A" wp14:editId="1982A1EF">
                  <wp:extent cx="1026154" cy="885825"/>
                  <wp:effectExtent l="0" t="0" r="317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980" cy="887401"/>
                          </a:xfrm>
                          <a:prstGeom prst="rect">
                            <a:avLst/>
                          </a:prstGeom>
                          <a:noFill/>
                          <a:ln>
                            <a:noFill/>
                          </a:ln>
                        </pic:spPr>
                      </pic:pic>
                    </a:graphicData>
                  </a:graphic>
                </wp:inline>
              </w:drawing>
            </w:r>
          </w:p>
        </w:tc>
        <w:tc>
          <w:tcPr>
            <w:tcW w:w="3687" w:type="dxa"/>
            <w:shd w:val="clear" w:color="auto" w:fill="auto"/>
          </w:tcPr>
          <w:p w14:paraId="3A5B32EF" w14:textId="77777777" w:rsidR="009B7835" w:rsidRPr="000F53C8" w:rsidRDefault="009B7835" w:rsidP="00EC6353">
            <w:pPr>
              <w:pStyle w:val="Header"/>
              <w:spacing w:before="0" w:after="0"/>
              <w:ind w:left="0"/>
              <w:jc w:val="right"/>
              <w:rPr>
                <w:rFonts w:ascii="National Light" w:hAnsi="National Light"/>
                <w:color w:val="4F81BD"/>
                <w:sz w:val="16"/>
                <w:szCs w:val="16"/>
                <w:lang w:val="en-GB"/>
              </w:rPr>
            </w:pPr>
            <w:r w:rsidRPr="000F53C8">
              <w:rPr>
                <w:rFonts w:ascii="TheSans-Caps" w:hAnsi="TheSans-Caps"/>
                <w:sz w:val="18"/>
                <w:szCs w:val="16"/>
                <w:lang w:val="en-GB"/>
              </w:rPr>
              <w:br/>
            </w:r>
          </w:p>
          <w:p w14:paraId="57BDC706" w14:textId="77777777" w:rsidR="009B7835" w:rsidRPr="000F53C8" w:rsidRDefault="009B7835" w:rsidP="00EC6353">
            <w:pPr>
              <w:pStyle w:val="Header"/>
              <w:spacing w:before="0" w:after="0"/>
              <w:ind w:left="0"/>
              <w:jc w:val="right"/>
              <w:rPr>
                <w:lang w:val="en-GB"/>
              </w:rPr>
            </w:pPr>
            <w:r w:rsidRPr="000F53C8">
              <w:rPr>
                <w:noProof/>
                <w:lang w:eastAsia="fr-CH"/>
              </w:rPr>
              <w:drawing>
                <wp:anchor distT="0" distB="0" distL="114300" distR="114300" simplePos="0" relativeHeight="251659264" behindDoc="0" locked="0" layoutInCell="1" allowOverlap="1" wp14:anchorId="438B044C" wp14:editId="4730B379">
                  <wp:simplePos x="0" y="0"/>
                  <wp:positionH relativeFrom="column">
                    <wp:posOffset>259080</wp:posOffset>
                  </wp:positionH>
                  <wp:positionV relativeFrom="paragraph">
                    <wp:posOffset>17780</wp:posOffset>
                  </wp:positionV>
                  <wp:extent cx="1562100" cy="491490"/>
                  <wp:effectExtent l="0" t="0" r="0" b="38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2100" cy="491490"/>
                          </a:xfrm>
                          <a:prstGeom prst="rect">
                            <a:avLst/>
                          </a:prstGeom>
                        </pic:spPr>
                      </pic:pic>
                    </a:graphicData>
                  </a:graphic>
                  <wp14:sizeRelH relativeFrom="page">
                    <wp14:pctWidth>0</wp14:pctWidth>
                  </wp14:sizeRelH>
                  <wp14:sizeRelV relativeFrom="page">
                    <wp14:pctHeight>0</wp14:pctHeight>
                  </wp14:sizeRelV>
                </wp:anchor>
              </w:drawing>
            </w:r>
          </w:p>
        </w:tc>
      </w:tr>
      <w:tr w:rsidR="009B7835" w:rsidRPr="001F715E" w14:paraId="4A452484" w14:textId="77777777" w:rsidTr="00EC6353">
        <w:trPr>
          <w:trHeight w:val="719"/>
        </w:trPr>
        <w:tc>
          <w:tcPr>
            <w:tcW w:w="3256" w:type="dxa"/>
            <w:shd w:val="clear" w:color="auto" w:fill="auto"/>
            <w:vAlign w:val="center"/>
          </w:tcPr>
          <w:p w14:paraId="76A8C03F" w14:textId="77777777" w:rsidR="009B7835" w:rsidRPr="000F53C8" w:rsidRDefault="009B7835" w:rsidP="00EC6353">
            <w:pPr>
              <w:pStyle w:val="Header"/>
              <w:spacing w:before="0" w:after="0"/>
              <w:ind w:left="0"/>
              <w:jc w:val="left"/>
              <w:rPr>
                <w:rFonts w:asciiTheme="majorHAnsi" w:hAnsiTheme="majorHAnsi" w:cstheme="majorBidi"/>
                <w:lang w:val="en-GB"/>
              </w:rPr>
            </w:pPr>
          </w:p>
          <w:p w14:paraId="42E42E04" w14:textId="6280CB1D" w:rsidR="009B7835" w:rsidRPr="000F53C8" w:rsidRDefault="00CA78F2" w:rsidP="00EC6353">
            <w:pPr>
              <w:pStyle w:val="Header"/>
              <w:spacing w:before="0" w:after="0"/>
              <w:ind w:left="0"/>
              <w:jc w:val="center"/>
              <w:rPr>
                <w:rFonts w:ascii="TheSans-Caps" w:hAnsi="TheSans-Caps"/>
                <w:sz w:val="20"/>
                <w:szCs w:val="20"/>
                <w:lang w:val="en-GB" w:eastAsia="fr-CH"/>
              </w:rPr>
            </w:pPr>
            <w:r w:rsidRPr="000F53C8">
              <w:rPr>
                <w:rFonts w:asciiTheme="majorHAnsi" w:hAnsiTheme="majorHAnsi" w:cstheme="majorBidi"/>
                <w:sz w:val="20"/>
                <w:szCs w:val="20"/>
                <w:lang w:val="en-GB"/>
              </w:rPr>
              <w:t>With the financial support of</w:t>
            </w:r>
          </w:p>
        </w:tc>
        <w:tc>
          <w:tcPr>
            <w:tcW w:w="3221" w:type="dxa"/>
          </w:tcPr>
          <w:p w14:paraId="46C6367B" w14:textId="77777777" w:rsidR="009B7835" w:rsidRPr="000F53C8" w:rsidRDefault="009B7835" w:rsidP="00EC6353">
            <w:pPr>
              <w:pStyle w:val="Header"/>
              <w:spacing w:before="0" w:after="0"/>
              <w:ind w:left="0"/>
              <w:jc w:val="center"/>
              <w:rPr>
                <w:lang w:val="en-GB" w:eastAsia="fr-CH"/>
              </w:rPr>
            </w:pPr>
          </w:p>
        </w:tc>
        <w:tc>
          <w:tcPr>
            <w:tcW w:w="3687" w:type="dxa"/>
            <w:shd w:val="clear" w:color="auto" w:fill="auto"/>
          </w:tcPr>
          <w:p w14:paraId="3D24DD28" w14:textId="77777777" w:rsidR="009B7835" w:rsidRPr="000F53C8" w:rsidRDefault="009B7835" w:rsidP="00EC6353">
            <w:pPr>
              <w:pStyle w:val="Header"/>
              <w:spacing w:before="0" w:after="0"/>
              <w:ind w:left="0"/>
              <w:jc w:val="right"/>
              <w:rPr>
                <w:rFonts w:ascii="TheSans-Caps" w:hAnsi="TheSans-Caps"/>
                <w:sz w:val="18"/>
                <w:szCs w:val="16"/>
                <w:lang w:val="en-GB"/>
              </w:rPr>
            </w:pPr>
          </w:p>
        </w:tc>
      </w:tr>
      <w:tr w:rsidR="009B7835" w:rsidRPr="000F53C8" w14:paraId="6CF51BC0" w14:textId="77777777" w:rsidTr="00C83D85">
        <w:trPr>
          <w:trHeight w:val="1701"/>
        </w:trPr>
        <w:tc>
          <w:tcPr>
            <w:tcW w:w="3256" w:type="dxa"/>
            <w:shd w:val="clear" w:color="auto" w:fill="auto"/>
            <w:vAlign w:val="center"/>
          </w:tcPr>
          <w:p w14:paraId="5996C5C0" w14:textId="77777777" w:rsidR="009B7835" w:rsidRPr="000F53C8" w:rsidRDefault="009B7835" w:rsidP="00EC6353">
            <w:pPr>
              <w:pStyle w:val="Header"/>
              <w:spacing w:before="0" w:after="0"/>
              <w:ind w:left="0"/>
              <w:jc w:val="left"/>
              <w:rPr>
                <w:rFonts w:asciiTheme="majorHAnsi" w:hAnsiTheme="majorHAnsi" w:cstheme="majorBidi"/>
                <w:lang w:val="en-GB"/>
              </w:rPr>
            </w:pPr>
          </w:p>
        </w:tc>
        <w:tc>
          <w:tcPr>
            <w:tcW w:w="3221" w:type="dxa"/>
            <w:vAlign w:val="center"/>
          </w:tcPr>
          <w:p w14:paraId="082D42E0" w14:textId="77777777" w:rsidR="009B7835" w:rsidRPr="000F53C8" w:rsidRDefault="009B7835" w:rsidP="00C83D85">
            <w:pPr>
              <w:pStyle w:val="Header"/>
              <w:spacing w:before="0" w:after="0"/>
              <w:ind w:left="0"/>
              <w:jc w:val="center"/>
              <w:rPr>
                <w:lang w:val="en-GB" w:eastAsia="fr-CH"/>
              </w:rPr>
            </w:pPr>
            <w:r w:rsidRPr="000F53C8">
              <w:rPr>
                <w:noProof/>
                <w:lang w:eastAsia="fr-CH"/>
              </w:rPr>
              <w:drawing>
                <wp:inline distT="0" distB="0" distL="0" distR="0" wp14:anchorId="0E3D7871" wp14:editId="07E4777D">
                  <wp:extent cx="1076325" cy="701675"/>
                  <wp:effectExtent l="0" t="0" r="952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25" cy="701675"/>
                          </a:xfrm>
                          <a:prstGeom prst="rect">
                            <a:avLst/>
                          </a:prstGeom>
                          <a:noFill/>
                        </pic:spPr>
                      </pic:pic>
                    </a:graphicData>
                  </a:graphic>
                </wp:inline>
              </w:drawing>
            </w:r>
          </w:p>
        </w:tc>
        <w:tc>
          <w:tcPr>
            <w:tcW w:w="3687" w:type="dxa"/>
            <w:shd w:val="clear" w:color="auto" w:fill="auto"/>
            <w:vAlign w:val="center"/>
          </w:tcPr>
          <w:p w14:paraId="4B6B42F9" w14:textId="77777777" w:rsidR="009B7835" w:rsidRPr="000F53C8" w:rsidRDefault="009B7835" w:rsidP="00C83D85">
            <w:pPr>
              <w:pStyle w:val="Header"/>
              <w:spacing w:before="0" w:after="0"/>
              <w:ind w:left="0"/>
              <w:jc w:val="center"/>
              <w:rPr>
                <w:lang w:val="en-GB" w:eastAsia="fr-CH"/>
              </w:rPr>
            </w:pPr>
            <w:r w:rsidRPr="000F53C8">
              <w:rPr>
                <w:noProof/>
                <w:lang w:eastAsia="fr-CH"/>
              </w:rPr>
              <w:drawing>
                <wp:inline distT="0" distB="0" distL="0" distR="0" wp14:anchorId="10610F5D" wp14:editId="491CFD5B">
                  <wp:extent cx="1457325" cy="66421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DC.png"/>
                          <pic:cNvPicPr/>
                        </pic:nvPicPr>
                        <pic:blipFill>
                          <a:blip r:embed="rId16">
                            <a:extLst>
                              <a:ext uri="{28A0092B-C50C-407E-A947-70E740481C1C}">
                                <a14:useLocalDpi xmlns:a14="http://schemas.microsoft.com/office/drawing/2010/main" val="0"/>
                              </a:ext>
                            </a:extLst>
                          </a:blip>
                          <a:stretch>
                            <a:fillRect/>
                          </a:stretch>
                        </pic:blipFill>
                        <pic:spPr>
                          <a:xfrm>
                            <a:off x="0" y="0"/>
                            <a:ext cx="1457325" cy="664214"/>
                          </a:xfrm>
                          <a:prstGeom prst="rect">
                            <a:avLst/>
                          </a:prstGeom>
                        </pic:spPr>
                      </pic:pic>
                    </a:graphicData>
                  </a:graphic>
                </wp:inline>
              </w:drawing>
            </w:r>
          </w:p>
        </w:tc>
      </w:tr>
    </w:tbl>
    <w:p w14:paraId="354A7839" w14:textId="77777777" w:rsidR="00382983" w:rsidRPr="000F53C8" w:rsidRDefault="00382983" w:rsidP="00540799">
      <w:pPr>
        <w:rPr>
          <w:sz w:val="2"/>
          <w:szCs w:val="2"/>
          <w:lang w:val="en-GB"/>
        </w:rPr>
      </w:pPr>
    </w:p>
    <w:p w14:paraId="2B2BCE3D" w14:textId="17E7EB09" w:rsidR="00382983" w:rsidRPr="000F53C8" w:rsidRDefault="00382983" w:rsidP="006F751C">
      <w:pPr>
        <w:pStyle w:val="Heading2"/>
        <w:rPr>
          <w:lang w:val="en-GB"/>
        </w:rPr>
        <w:sectPr w:rsidR="00382983" w:rsidRPr="000F53C8" w:rsidSect="00ED3ED6">
          <w:headerReference w:type="even" r:id="rId17"/>
          <w:headerReference w:type="default" r:id="rId18"/>
          <w:footerReference w:type="even" r:id="rId19"/>
          <w:footerReference w:type="default" r:id="rId20"/>
          <w:headerReference w:type="first" r:id="rId21"/>
          <w:footerReference w:type="first" r:id="rId22"/>
          <w:pgSz w:w="11900" w:h="16840"/>
          <w:pgMar w:top="1417" w:right="843" w:bottom="1417" w:left="1417" w:header="708" w:footer="165" w:gutter="0"/>
          <w:cols w:space="708"/>
        </w:sectPr>
      </w:pPr>
    </w:p>
    <w:sdt>
      <w:sdtPr>
        <w:rPr>
          <w:rFonts w:asciiTheme="minorHAnsi" w:eastAsia="MS Mincho" w:hAnsiTheme="minorHAnsi" w:cs="Times New Roman"/>
          <w:color w:val="auto"/>
          <w:sz w:val="22"/>
          <w:szCs w:val="24"/>
          <w:lang w:val="en-GB" w:eastAsia="ja-JP"/>
        </w:rPr>
        <w:id w:val="35331493"/>
        <w:docPartObj>
          <w:docPartGallery w:val="Table of Contents"/>
          <w:docPartUnique/>
        </w:docPartObj>
      </w:sdtPr>
      <w:sdtEndPr>
        <w:rPr>
          <w:b/>
          <w:bCs/>
        </w:rPr>
      </w:sdtEndPr>
      <w:sdtContent>
        <w:p w14:paraId="0612DEA1" w14:textId="508BB223" w:rsidR="00FE7EB8" w:rsidRPr="000F53C8" w:rsidRDefault="00784930">
          <w:pPr>
            <w:pStyle w:val="TOCHeading"/>
            <w:rPr>
              <w:lang w:val="en-GB"/>
            </w:rPr>
          </w:pPr>
          <w:r w:rsidRPr="000F53C8">
            <w:rPr>
              <w:lang w:val="en-GB"/>
            </w:rPr>
            <w:t xml:space="preserve">Table </w:t>
          </w:r>
          <w:r w:rsidR="00033040" w:rsidRPr="000F53C8">
            <w:rPr>
              <w:lang w:val="en-GB"/>
            </w:rPr>
            <w:t>of Contents</w:t>
          </w:r>
        </w:p>
        <w:p w14:paraId="5EE483BF" w14:textId="019709E1" w:rsidR="006068DD" w:rsidRPr="000F53C8" w:rsidRDefault="00CD5A06">
          <w:pPr>
            <w:pStyle w:val="TOC2"/>
            <w:tabs>
              <w:tab w:val="left" w:pos="660"/>
              <w:tab w:val="right" w:leader="dot" w:pos="9630"/>
            </w:tabs>
            <w:rPr>
              <w:rFonts w:eastAsiaTheme="minorEastAsia" w:cstheme="minorBidi"/>
              <w:szCs w:val="22"/>
              <w:lang w:val="en-GB"/>
            </w:rPr>
          </w:pPr>
          <w:r w:rsidRPr="000F53C8">
            <w:rPr>
              <w:lang w:val="en-GB"/>
            </w:rPr>
            <w:fldChar w:fldCharType="begin"/>
          </w:r>
          <w:r w:rsidRPr="000F53C8">
            <w:rPr>
              <w:lang w:val="en-GB"/>
            </w:rPr>
            <w:instrText xml:space="preserve"> TOC \o "1-4" \h \z \u </w:instrText>
          </w:r>
          <w:r w:rsidRPr="000F53C8">
            <w:rPr>
              <w:lang w:val="en-GB"/>
            </w:rPr>
            <w:fldChar w:fldCharType="separate"/>
          </w:r>
          <w:hyperlink w:anchor="_Toc54022735" w:history="1">
            <w:r w:rsidR="006068DD" w:rsidRPr="000F53C8">
              <w:rPr>
                <w:rStyle w:val="Hyperlink"/>
                <w:lang w:val="en-GB"/>
              </w:rPr>
              <w:t>1</w:t>
            </w:r>
            <w:r w:rsidR="006068DD" w:rsidRPr="000F53C8">
              <w:rPr>
                <w:rFonts w:eastAsiaTheme="minorEastAsia" w:cstheme="minorBidi"/>
                <w:szCs w:val="22"/>
                <w:lang w:val="en-GB"/>
              </w:rPr>
              <w:tab/>
            </w:r>
            <w:r w:rsidR="006068DD" w:rsidRPr="000F53C8">
              <w:rPr>
                <w:rStyle w:val="Hyperlink"/>
                <w:lang w:val="en-GB"/>
              </w:rPr>
              <w:t>Introduction</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_Toc54022735 \h </w:instrText>
            </w:r>
            <w:r w:rsidR="006068DD" w:rsidRPr="000F53C8">
              <w:rPr>
                <w:webHidden/>
                <w:lang w:val="en-GB"/>
              </w:rPr>
            </w:r>
            <w:r w:rsidR="006068DD" w:rsidRPr="000F53C8">
              <w:rPr>
                <w:webHidden/>
                <w:lang w:val="en-GB"/>
              </w:rPr>
              <w:fldChar w:fldCharType="separate"/>
            </w:r>
            <w:r w:rsidR="006068DD" w:rsidRPr="000F53C8">
              <w:rPr>
                <w:webHidden/>
                <w:lang w:val="en-GB"/>
              </w:rPr>
              <w:t>4</w:t>
            </w:r>
            <w:r w:rsidR="006068DD" w:rsidRPr="000F53C8">
              <w:rPr>
                <w:webHidden/>
                <w:lang w:val="en-GB"/>
              </w:rPr>
              <w:fldChar w:fldCharType="end"/>
            </w:r>
          </w:hyperlink>
        </w:p>
        <w:p w14:paraId="7F9F2DAB" w14:textId="5AC7F178" w:rsidR="006068DD" w:rsidRPr="000F53C8" w:rsidRDefault="001F715E">
          <w:pPr>
            <w:pStyle w:val="TOC2"/>
            <w:tabs>
              <w:tab w:val="left" w:pos="660"/>
              <w:tab w:val="right" w:leader="dot" w:pos="9630"/>
            </w:tabs>
            <w:rPr>
              <w:rFonts w:eastAsiaTheme="minorEastAsia" w:cstheme="minorBidi"/>
              <w:szCs w:val="22"/>
              <w:lang w:val="en-GB"/>
            </w:rPr>
          </w:pPr>
          <w:hyperlink w:anchor="_Toc54022736" w:history="1">
            <w:r w:rsidR="006068DD" w:rsidRPr="000F53C8">
              <w:rPr>
                <w:rStyle w:val="Hyperlink"/>
                <w:lang w:val="en-GB"/>
              </w:rPr>
              <w:t>2</w:t>
            </w:r>
            <w:r w:rsidR="006068DD" w:rsidRPr="000F53C8">
              <w:rPr>
                <w:rFonts w:eastAsiaTheme="minorEastAsia" w:cstheme="minorBidi"/>
                <w:szCs w:val="22"/>
                <w:lang w:val="en-GB"/>
              </w:rPr>
              <w:tab/>
            </w:r>
            <w:r w:rsidR="006068DD" w:rsidRPr="000F53C8">
              <w:rPr>
                <w:rStyle w:val="Hyperlink"/>
                <w:lang w:val="en-GB"/>
              </w:rPr>
              <w:t>Inventory of State of groundwater management</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_Toc54022736 \h </w:instrText>
            </w:r>
            <w:r w:rsidR="006068DD" w:rsidRPr="000F53C8">
              <w:rPr>
                <w:webHidden/>
                <w:lang w:val="en-GB"/>
              </w:rPr>
            </w:r>
            <w:r w:rsidR="006068DD" w:rsidRPr="000F53C8">
              <w:rPr>
                <w:webHidden/>
                <w:lang w:val="en-GB"/>
              </w:rPr>
              <w:fldChar w:fldCharType="separate"/>
            </w:r>
            <w:r w:rsidR="006068DD" w:rsidRPr="000F53C8">
              <w:rPr>
                <w:webHidden/>
                <w:lang w:val="en-GB"/>
              </w:rPr>
              <w:t>4</w:t>
            </w:r>
            <w:r w:rsidR="006068DD" w:rsidRPr="000F53C8">
              <w:rPr>
                <w:webHidden/>
                <w:lang w:val="en-GB"/>
              </w:rPr>
              <w:fldChar w:fldCharType="end"/>
            </w:r>
          </w:hyperlink>
        </w:p>
        <w:p w14:paraId="18A7FFEB" w14:textId="1813D631" w:rsidR="006068DD" w:rsidRPr="000F53C8" w:rsidRDefault="001F715E">
          <w:pPr>
            <w:pStyle w:val="TOC3"/>
            <w:rPr>
              <w:rFonts w:eastAsiaTheme="minorEastAsia" w:cstheme="minorBidi"/>
              <w:b w:val="0"/>
              <w:noProof w:val="0"/>
              <w:szCs w:val="22"/>
            </w:rPr>
          </w:pPr>
          <w:hyperlink w:anchor="_Toc54022737" w:history="1">
            <w:r w:rsidR="006068DD" w:rsidRPr="000F53C8">
              <w:rPr>
                <w:rStyle w:val="Hyperlink"/>
                <w:bCs/>
                <w:noProof w:val="0"/>
                <w14:scene3d>
                  <w14:camera w14:prst="orthographicFront"/>
                  <w14:lightRig w14:rig="threePt" w14:dir="t">
                    <w14:rot w14:lat="0" w14:lon="0" w14:rev="0"/>
                  </w14:lightRig>
                </w14:scene3d>
              </w:rPr>
              <w:t>2.1</w:t>
            </w:r>
            <w:r w:rsidR="006068DD" w:rsidRPr="000F53C8">
              <w:rPr>
                <w:rFonts w:eastAsiaTheme="minorEastAsia" w:cstheme="minorBidi"/>
                <w:b w:val="0"/>
                <w:noProof w:val="0"/>
                <w:szCs w:val="22"/>
              </w:rPr>
              <w:tab/>
            </w:r>
            <w:r w:rsidR="006068DD" w:rsidRPr="000F53C8">
              <w:rPr>
                <w:rStyle w:val="Hyperlink"/>
                <w:noProof w:val="0"/>
              </w:rPr>
              <w:t>Gambia</w:t>
            </w:r>
            <w:r w:rsidR="006068DD" w:rsidRPr="000F53C8">
              <w:rPr>
                <w:noProof w:val="0"/>
                <w:webHidden/>
              </w:rPr>
              <w:tab/>
            </w:r>
            <w:r w:rsidR="006068DD" w:rsidRPr="000F53C8">
              <w:rPr>
                <w:noProof w:val="0"/>
                <w:webHidden/>
              </w:rPr>
              <w:fldChar w:fldCharType="begin"/>
            </w:r>
            <w:r w:rsidR="006068DD" w:rsidRPr="000F53C8">
              <w:rPr>
                <w:noProof w:val="0"/>
                <w:webHidden/>
              </w:rPr>
              <w:instrText xml:space="preserve"> PAGEREF _Toc54022737 \h </w:instrText>
            </w:r>
            <w:r w:rsidR="006068DD" w:rsidRPr="000F53C8">
              <w:rPr>
                <w:noProof w:val="0"/>
                <w:webHidden/>
              </w:rPr>
            </w:r>
            <w:r w:rsidR="006068DD" w:rsidRPr="000F53C8">
              <w:rPr>
                <w:noProof w:val="0"/>
                <w:webHidden/>
              </w:rPr>
              <w:fldChar w:fldCharType="separate"/>
            </w:r>
            <w:r w:rsidR="006068DD" w:rsidRPr="000F53C8">
              <w:rPr>
                <w:noProof w:val="0"/>
                <w:webHidden/>
              </w:rPr>
              <w:t>4</w:t>
            </w:r>
            <w:r w:rsidR="006068DD" w:rsidRPr="000F53C8">
              <w:rPr>
                <w:noProof w:val="0"/>
                <w:webHidden/>
              </w:rPr>
              <w:fldChar w:fldCharType="end"/>
            </w:r>
          </w:hyperlink>
        </w:p>
        <w:p w14:paraId="0011AB86" w14:textId="107C8D63" w:rsidR="006068DD" w:rsidRPr="000F53C8" w:rsidRDefault="001F715E">
          <w:pPr>
            <w:pStyle w:val="TOC4"/>
            <w:tabs>
              <w:tab w:val="left" w:pos="1540"/>
              <w:tab w:val="right" w:leader="dot" w:pos="9630"/>
            </w:tabs>
            <w:rPr>
              <w:rFonts w:eastAsiaTheme="minorEastAsia" w:cstheme="minorBidi"/>
              <w:szCs w:val="22"/>
              <w:lang w:val="en-GB"/>
            </w:rPr>
          </w:pPr>
          <w:hyperlink w:anchor="_Toc54022738" w:history="1">
            <w:r w:rsidR="006068DD" w:rsidRPr="000F53C8">
              <w:rPr>
                <w:rStyle w:val="Hyperlink"/>
                <w:lang w:val="en-GB"/>
              </w:rPr>
              <w:t>2.1.1</w:t>
            </w:r>
            <w:r w:rsidR="006068DD" w:rsidRPr="000F53C8">
              <w:rPr>
                <w:rFonts w:eastAsiaTheme="minorEastAsia" w:cstheme="minorBidi"/>
                <w:szCs w:val="22"/>
                <w:lang w:val="en-GB"/>
              </w:rPr>
              <w:tab/>
            </w:r>
            <w:r w:rsidR="006068DD" w:rsidRPr="000F53C8">
              <w:rPr>
                <w:rStyle w:val="Hyperlink"/>
                <w:lang w:val="en-GB"/>
              </w:rPr>
              <w:t>General overview of groundwater use and institutional setting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_Toc54022738 \h </w:instrText>
            </w:r>
            <w:r w:rsidR="006068DD" w:rsidRPr="000F53C8">
              <w:rPr>
                <w:webHidden/>
                <w:lang w:val="en-GB"/>
              </w:rPr>
            </w:r>
            <w:r w:rsidR="006068DD" w:rsidRPr="000F53C8">
              <w:rPr>
                <w:webHidden/>
                <w:lang w:val="en-GB"/>
              </w:rPr>
              <w:fldChar w:fldCharType="separate"/>
            </w:r>
            <w:r w:rsidR="006068DD" w:rsidRPr="000F53C8">
              <w:rPr>
                <w:webHidden/>
                <w:lang w:val="en-GB"/>
              </w:rPr>
              <w:t>4</w:t>
            </w:r>
            <w:r w:rsidR="006068DD" w:rsidRPr="000F53C8">
              <w:rPr>
                <w:webHidden/>
                <w:lang w:val="en-GB"/>
              </w:rPr>
              <w:fldChar w:fldCharType="end"/>
            </w:r>
          </w:hyperlink>
        </w:p>
        <w:p w14:paraId="40EDDC4B" w14:textId="2A5FBD09" w:rsidR="006068DD" w:rsidRPr="000F53C8" w:rsidRDefault="001F715E">
          <w:pPr>
            <w:pStyle w:val="TOC4"/>
            <w:tabs>
              <w:tab w:val="left" w:pos="1540"/>
              <w:tab w:val="right" w:leader="dot" w:pos="9630"/>
            </w:tabs>
            <w:rPr>
              <w:rFonts w:eastAsiaTheme="minorEastAsia" w:cstheme="minorBidi"/>
              <w:szCs w:val="22"/>
              <w:lang w:val="en-GB"/>
            </w:rPr>
          </w:pPr>
          <w:hyperlink w:anchor="_Toc54022739" w:history="1">
            <w:r w:rsidR="006068DD" w:rsidRPr="000F53C8">
              <w:rPr>
                <w:rStyle w:val="Hyperlink"/>
                <w:lang w:val="en-GB"/>
              </w:rPr>
              <w:t>2.1.2</w:t>
            </w:r>
            <w:r w:rsidR="006068DD" w:rsidRPr="000F53C8">
              <w:rPr>
                <w:rFonts w:eastAsiaTheme="minorEastAsia" w:cstheme="minorBidi"/>
                <w:szCs w:val="22"/>
                <w:lang w:val="en-GB"/>
              </w:rPr>
              <w:tab/>
            </w:r>
            <w:r w:rsidR="006068DD" w:rsidRPr="000F53C8">
              <w:rPr>
                <w:rStyle w:val="Hyperlink"/>
                <w:lang w:val="en-GB"/>
              </w:rPr>
              <w:t>Collection and management of borehole data</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_Toc54022739 \h </w:instrText>
            </w:r>
            <w:r w:rsidR="006068DD" w:rsidRPr="000F53C8">
              <w:rPr>
                <w:webHidden/>
                <w:lang w:val="en-GB"/>
              </w:rPr>
            </w:r>
            <w:r w:rsidR="006068DD" w:rsidRPr="000F53C8">
              <w:rPr>
                <w:webHidden/>
                <w:lang w:val="en-GB"/>
              </w:rPr>
              <w:fldChar w:fldCharType="separate"/>
            </w:r>
            <w:r w:rsidR="006068DD" w:rsidRPr="000F53C8">
              <w:rPr>
                <w:webHidden/>
                <w:lang w:val="en-GB"/>
              </w:rPr>
              <w:t>5</w:t>
            </w:r>
            <w:r w:rsidR="006068DD" w:rsidRPr="000F53C8">
              <w:rPr>
                <w:webHidden/>
                <w:lang w:val="en-GB"/>
              </w:rPr>
              <w:fldChar w:fldCharType="end"/>
            </w:r>
          </w:hyperlink>
        </w:p>
        <w:p w14:paraId="0028EDF6" w14:textId="7BC86104" w:rsidR="006068DD" w:rsidRPr="000F53C8" w:rsidRDefault="001F715E">
          <w:pPr>
            <w:pStyle w:val="TOC4"/>
            <w:tabs>
              <w:tab w:val="left" w:pos="1540"/>
              <w:tab w:val="right" w:leader="dot" w:pos="9630"/>
            </w:tabs>
            <w:rPr>
              <w:rFonts w:eastAsiaTheme="minorEastAsia" w:cstheme="minorBidi"/>
              <w:szCs w:val="22"/>
              <w:lang w:val="en-GB"/>
            </w:rPr>
          </w:pPr>
          <w:hyperlink w:anchor="_Toc54022740" w:history="1">
            <w:r w:rsidR="006068DD" w:rsidRPr="000F53C8">
              <w:rPr>
                <w:rStyle w:val="Hyperlink"/>
                <w:lang w:val="en-GB"/>
              </w:rPr>
              <w:t>2.1.3</w:t>
            </w:r>
            <w:r w:rsidR="006068DD" w:rsidRPr="000F53C8">
              <w:rPr>
                <w:rFonts w:eastAsiaTheme="minorEastAsia" w:cstheme="minorBidi"/>
                <w:szCs w:val="22"/>
                <w:lang w:val="en-GB"/>
              </w:rPr>
              <w:tab/>
            </w:r>
            <w:r w:rsidR="006068DD" w:rsidRPr="000F53C8">
              <w:rPr>
                <w:rStyle w:val="Hyperlink"/>
                <w:lang w:val="en-GB"/>
              </w:rPr>
              <w:t>Groundwater monitoring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_Toc54022740 \h </w:instrText>
            </w:r>
            <w:r w:rsidR="006068DD" w:rsidRPr="000F53C8">
              <w:rPr>
                <w:webHidden/>
                <w:lang w:val="en-GB"/>
              </w:rPr>
            </w:r>
            <w:r w:rsidR="006068DD" w:rsidRPr="000F53C8">
              <w:rPr>
                <w:webHidden/>
                <w:lang w:val="en-GB"/>
              </w:rPr>
              <w:fldChar w:fldCharType="separate"/>
            </w:r>
            <w:r w:rsidR="006068DD" w:rsidRPr="000F53C8">
              <w:rPr>
                <w:webHidden/>
                <w:lang w:val="en-GB"/>
              </w:rPr>
              <w:t>6</w:t>
            </w:r>
            <w:r w:rsidR="006068DD" w:rsidRPr="000F53C8">
              <w:rPr>
                <w:webHidden/>
                <w:lang w:val="en-GB"/>
              </w:rPr>
              <w:fldChar w:fldCharType="end"/>
            </w:r>
          </w:hyperlink>
        </w:p>
        <w:p w14:paraId="3D3DA6C5" w14:textId="4EE24901" w:rsidR="006068DD" w:rsidRPr="000F53C8" w:rsidRDefault="001F715E">
          <w:pPr>
            <w:pStyle w:val="TOC3"/>
            <w:rPr>
              <w:rFonts w:eastAsiaTheme="minorEastAsia" w:cstheme="minorBidi"/>
              <w:b w:val="0"/>
              <w:noProof w:val="0"/>
              <w:szCs w:val="22"/>
            </w:rPr>
          </w:pPr>
          <w:hyperlink w:anchor="_Toc54022741" w:history="1">
            <w:r w:rsidR="006068DD" w:rsidRPr="000F53C8">
              <w:rPr>
                <w:rStyle w:val="Hyperlink"/>
                <w:bCs/>
                <w:noProof w:val="0"/>
                <w14:scene3d>
                  <w14:camera w14:prst="orthographicFront"/>
                  <w14:lightRig w14:rig="threePt" w14:dir="t">
                    <w14:rot w14:lat="0" w14:lon="0" w14:rev="0"/>
                  </w14:lightRig>
                </w14:scene3d>
              </w:rPr>
              <w:t>2.2</w:t>
            </w:r>
            <w:r w:rsidR="006068DD" w:rsidRPr="000F53C8">
              <w:rPr>
                <w:rFonts w:eastAsiaTheme="minorEastAsia" w:cstheme="minorBidi"/>
                <w:b w:val="0"/>
                <w:noProof w:val="0"/>
                <w:szCs w:val="22"/>
              </w:rPr>
              <w:tab/>
            </w:r>
            <w:r w:rsidR="006068DD" w:rsidRPr="000F53C8">
              <w:rPr>
                <w:rStyle w:val="Hyperlink"/>
                <w:noProof w:val="0"/>
              </w:rPr>
              <w:t>Guinea-Bissau</w:t>
            </w:r>
            <w:r w:rsidR="006068DD" w:rsidRPr="000F53C8">
              <w:rPr>
                <w:noProof w:val="0"/>
                <w:webHidden/>
              </w:rPr>
              <w:tab/>
            </w:r>
            <w:r w:rsidR="006068DD" w:rsidRPr="000F53C8">
              <w:rPr>
                <w:noProof w:val="0"/>
                <w:webHidden/>
              </w:rPr>
              <w:fldChar w:fldCharType="begin"/>
            </w:r>
            <w:r w:rsidR="006068DD" w:rsidRPr="000F53C8">
              <w:rPr>
                <w:noProof w:val="0"/>
                <w:webHidden/>
              </w:rPr>
              <w:instrText xml:space="preserve"> PAGEREF _Toc54022741 \h </w:instrText>
            </w:r>
            <w:r w:rsidR="006068DD" w:rsidRPr="000F53C8">
              <w:rPr>
                <w:noProof w:val="0"/>
                <w:webHidden/>
              </w:rPr>
            </w:r>
            <w:r w:rsidR="006068DD" w:rsidRPr="000F53C8">
              <w:rPr>
                <w:noProof w:val="0"/>
                <w:webHidden/>
              </w:rPr>
              <w:fldChar w:fldCharType="separate"/>
            </w:r>
            <w:r w:rsidR="006068DD" w:rsidRPr="000F53C8">
              <w:rPr>
                <w:noProof w:val="0"/>
                <w:webHidden/>
              </w:rPr>
              <w:t>7</w:t>
            </w:r>
            <w:r w:rsidR="006068DD" w:rsidRPr="000F53C8">
              <w:rPr>
                <w:noProof w:val="0"/>
                <w:webHidden/>
              </w:rPr>
              <w:fldChar w:fldCharType="end"/>
            </w:r>
          </w:hyperlink>
        </w:p>
        <w:p w14:paraId="0133BA73" w14:textId="0F2873CD" w:rsidR="006068DD" w:rsidRPr="000F53C8" w:rsidRDefault="001F715E">
          <w:pPr>
            <w:pStyle w:val="TOC4"/>
            <w:tabs>
              <w:tab w:val="left" w:pos="1540"/>
              <w:tab w:val="right" w:leader="dot" w:pos="9630"/>
            </w:tabs>
            <w:rPr>
              <w:rFonts w:eastAsiaTheme="minorEastAsia" w:cstheme="minorBidi"/>
              <w:szCs w:val="22"/>
              <w:lang w:val="en-GB"/>
            </w:rPr>
          </w:pPr>
          <w:hyperlink w:anchor="_Toc54022742" w:history="1">
            <w:r w:rsidR="006068DD" w:rsidRPr="000F53C8">
              <w:rPr>
                <w:rStyle w:val="Hyperlink"/>
                <w:lang w:val="en-GB"/>
              </w:rPr>
              <w:t>2.2.1</w:t>
            </w:r>
            <w:r w:rsidR="006068DD" w:rsidRPr="000F53C8">
              <w:rPr>
                <w:rFonts w:eastAsiaTheme="minorEastAsia" w:cstheme="minorBidi"/>
                <w:szCs w:val="22"/>
                <w:lang w:val="en-GB"/>
              </w:rPr>
              <w:tab/>
            </w:r>
            <w:r w:rsidR="006068DD" w:rsidRPr="000F53C8">
              <w:rPr>
                <w:rStyle w:val="Hyperlink"/>
                <w:lang w:val="en-GB"/>
              </w:rPr>
              <w:t>General overview of groundwater use and institutional setting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_Toc54022742 \h </w:instrText>
            </w:r>
            <w:r w:rsidR="006068DD" w:rsidRPr="000F53C8">
              <w:rPr>
                <w:webHidden/>
                <w:lang w:val="en-GB"/>
              </w:rPr>
            </w:r>
            <w:r w:rsidR="006068DD" w:rsidRPr="000F53C8">
              <w:rPr>
                <w:webHidden/>
                <w:lang w:val="en-GB"/>
              </w:rPr>
              <w:fldChar w:fldCharType="separate"/>
            </w:r>
            <w:r w:rsidR="006068DD" w:rsidRPr="000F53C8">
              <w:rPr>
                <w:webHidden/>
                <w:lang w:val="en-GB"/>
              </w:rPr>
              <w:t>7</w:t>
            </w:r>
            <w:r w:rsidR="006068DD" w:rsidRPr="000F53C8">
              <w:rPr>
                <w:webHidden/>
                <w:lang w:val="en-GB"/>
              </w:rPr>
              <w:fldChar w:fldCharType="end"/>
            </w:r>
          </w:hyperlink>
        </w:p>
        <w:p w14:paraId="38847856" w14:textId="1848476F" w:rsidR="006068DD" w:rsidRPr="000F53C8" w:rsidRDefault="001F715E">
          <w:pPr>
            <w:pStyle w:val="TOC4"/>
            <w:tabs>
              <w:tab w:val="left" w:pos="1540"/>
              <w:tab w:val="right" w:leader="dot" w:pos="9630"/>
            </w:tabs>
            <w:rPr>
              <w:rFonts w:eastAsiaTheme="minorEastAsia" w:cstheme="minorBidi"/>
              <w:szCs w:val="22"/>
              <w:lang w:val="en-GB"/>
            </w:rPr>
          </w:pPr>
          <w:hyperlink w:anchor="_Toc54022743" w:history="1">
            <w:r w:rsidR="006068DD" w:rsidRPr="000F53C8">
              <w:rPr>
                <w:rStyle w:val="Hyperlink"/>
                <w:lang w:val="en-GB"/>
              </w:rPr>
              <w:t>2.2.2</w:t>
            </w:r>
            <w:r w:rsidR="006068DD" w:rsidRPr="000F53C8">
              <w:rPr>
                <w:rFonts w:eastAsiaTheme="minorEastAsia" w:cstheme="minorBidi"/>
                <w:szCs w:val="22"/>
                <w:lang w:val="en-GB"/>
              </w:rPr>
              <w:tab/>
            </w:r>
            <w:r w:rsidR="006068DD" w:rsidRPr="000F53C8">
              <w:rPr>
                <w:rStyle w:val="Hyperlink"/>
                <w:lang w:val="en-GB"/>
              </w:rPr>
              <w:t>Collection and management of borehole data</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_Toc54022743 \h </w:instrText>
            </w:r>
            <w:r w:rsidR="006068DD" w:rsidRPr="000F53C8">
              <w:rPr>
                <w:webHidden/>
                <w:lang w:val="en-GB"/>
              </w:rPr>
            </w:r>
            <w:r w:rsidR="006068DD" w:rsidRPr="000F53C8">
              <w:rPr>
                <w:webHidden/>
                <w:lang w:val="en-GB"/>
              </w:rPr>
              <w:fldChar w:fldCharType="separate"/>
            </w:r>
            <w:r w:rsidR="006068DD" w:rsidRPr="000F53C8">
              <w:rPr>
                <w:webHidden/>
                <w:lang w:val="en-GB"/>
              </w:rPr>
              <w:t>7</w:t>
            </w:r>
            <w:r w:rsidR="006068DD" w:rsidRPr="000F53C8">
              <w:rPr>
                <w:webHidden/>
                <w:lang w:val="en-GB"/>
              </w:rPr>
              <w:fldChar w:fldCharType="end"/>
            </w:r>
          </w:hyperlink>
        </w:p>
        <w:p w14:paraId="4D095BAD" w14:textId="17A7EF09" w:rsidR="006068DD" w:rsidRPr="000F53C8" w:rsidRDefault="001F715E">
          <w:pPr>
            <w:pStyle w:val="TOC4"/>
            <w:tabs>
              <w:tab w:val="left" w:pos="1540"/>
              <w:tab w:val="right" w:leader="dot" w:pos="9630"/>
            </w:tabs>
            <w:rPr>
              <w:rFonts w:eastAsiaTheme="minorEastAsia" w:cstheme="minorBidi"/>
              <w:szCs w:val="22"/>
              <w:lang w:val="en-GB"/>
            </w:rPr>
          </w:pPr>
          <w:hyperlink w:anchor="_Toc54022744" w:history="1">
            <w:r w:rsidR="006068DD" w:rsidRPr="000F53C8">
              <w:rPr>
                <w:rStyle w:val="Hyperlink"/>
                <w:lang w:val="en-GB"/>
              </w:rPr>
              <w:t>2.2.3</w:t>
            </w:r>
            <w:r w:rsidR="006068DD" w:rsidRPr="000F53C8">
              <w:rPr>
                <w:rFonts w:eastAsiaTheme="minorEastAsia" w:cstheme="minorBidi"/>
                <w:szCs w:val="22"/>
                <w:lang w:val="en-GB"/>
              </w:rPr>
              <w:tab/>
            </w:r>
            <w:r w:rsidR="006068DD" w:rsidRPr="000F53C8">
              <w:rPr>
                <w:rStyle w:val="Hyperlink"/>
                <w:lang w:val="en-GB"/>
              </w:rPr>
              <w:t>Groundwater monitoring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_Toc54022744 \h </w:instrText>
            </w:r>
            <w:r w:rsidR="006068DD" w:rsidRPr="000F53C8">
              <w:rPr>
                <w:webHidden/>
                <w:lang w:val="en-GB"/>
              </w:rPr>
            </w:r>
            <w:r w:rsidR="006068DD" w:rsidRPr="000F53C8">
              <w:rPr>
                <w:webHidden/>
                <w:lang w:val="en-GB"/>
              </w:rPr>
              <w:fldChar w:fldCharType="separate"/>
            </w:r>
            <w:r w:rsidR="006068DD" w:rsidRPr="000F53C8">
              <w:rPr>
                <w:webHidden/>
                <w:lang w:val="en-GB"/>
              </w:rPr>
              <w:t>8</w:t>
            </w:r>
            <w:r w:rsidR="006068DD" w:rsidRPr="000F53C8">
              <w:rPr>
                <w:webHidden/>
                <w:lang w:val="en-GB"/>
              </w:rPr>
              <w:fldChar w:fldCharType="end"/>
            </w:r>
          </w:hyperlink>
        </w:p>
        <w:p w14:paraId="7B0ED861" w14:textId="7399E693" w:rsidR="006068DD" w:rsidRPr="000F53C8" w:rsidRDefault="001F715E">
          <w:pPr>
            <w:pStyle w:val="TOC3"/>
            <w:rPr>
              <w:rFonts w:eastAsiaTheme="minorEastAsia" w:cstheme="minorBidi"/>
              <w:b w:val="0"/>
              <w:noProof w:val="0"/>
              <w:szCs w:val="22"/>
            </w:rPr>
          </w:pPr>
          <w:hyperlink w:anchor="_Toc54022745" w:history="1">
            <w:r w:rsidR="006068DD" w:rsidRPr="000F53C8">
              <w:rPr>
                <w:rStyle w:val="Hyperlink"/>
                <w:bCs/>
                <w:noProof w:val="0"/>
                <w14:scene3d>
                  <w14:camera w14:prst="orthographicFront"/>
                  <w14:lightRig w14:rig="threePt" w14:dir="t">
                    <w14:rot w14:lat="0" w14:lon="0" w14:rev="0"/>
                  </w14:lightRig>
                </w14:scene3d>
              </w:rPr>
              <w:t>2.3</w:t>
            </w:r>
            <w:r w:rsidR="006068DD" w:rsidRPr="000F53C8">
              <w:rPr>
                <w:rFonts w:eastAsiaTheme="minorEastAsia" w:cstheme="minorBidi"/>
                <w:b w:val="0"/>
                <w:noProof w:val="0"/>
                <w:szCs w:val="22"/>
              </w:rPr>
              <w:tab/>
            </w:r>
            <w:r w:rsidR="006068DD" w:rsidRPr="000F53C8">
              <w:rPr>
                <w:rStyle w:val="Hyperlink"/>
                <w:noProof w:val="0"/>
              </w:rPr>
              <w:t>Mauritania</w:t>
            </w:r>
            <w:r w:rsidR="006068DD" w:rsidRPr="000F53C8">
              <w:rPr>
                <w:noProof w:val="0"/>
                <w:webHidden/>
              </w:rPr>
              <w:tab/>
            </w:r>
            <w:r w:rsidR="006068DD" w:rsidRPr="000F53C8">
              <w:rPr>
                <w:noProof w:val="0"/>
                <w:webHidden/>
              </w:rPr>
              <w:fldChar w:fldCharType="begin"/>
            </w:r>
            <w:r w:rsidR="006068DD" w:rsidRPr="000F53C8">
              <w:rPr>
                <w:noProof w:val="0"/>
                <w:webHidden/>
              </w:rPr>
              <w:instrText xml:space="preserve"> PAGEREF _Toc54022745 \h </w:instrText>
            </w:r>
            <w:r w:rsidR="006068DD" w:rsidRPr="000F53C8">
              <w:rPr>
                <w:noProof w:val="0"/>
                <w:webHidden/>
              </w:rPr>
            </w:r>
            <w:r w:rsidR="006068DD" w:rsidRPr="000F53C8">
              <w:rPr>
                <w:noProof w:val="0"/>
                <w:webHidden/>
              </w:rPr>
              <w:fldChar w:fldCharType="separate"/>
            </w:r>
            <w:r w:rsidR="006068DD" w:rsidRPr="000F53C8">
              <w:rPr>
                <w:noProof w:val="0"/>
                <w:webHidden/>
              </w:rPr>
              <w:t>8</w:t>
            </w:r>
            <w:r w:rsidR="006068DD" w:rsidRPr="000F53C8">
              <w:rPr>
                <w:noProof w:val="0"/>
                <w:webHidden/>
              </w:rPr>
              <w:fldChar w:fldCharType="end"/>
            </w:r>
          </w:hyperlink>
        </w:p>
        <w:p w14:paraId="03900DF5" w14:textId="04C0D5DF" w:rsidR="006068DD" w:rsidRPr="000F53C8" w:rsidRDefault="001F715E">
          <w:pPr>
            <w:pStyle w:val="TOC4"/>
            <w:tabs>
              <w:tab w:val="left" w:pos="1540"/>
              <w:tab w:val="right" w:leader="dot" w:pos="9630"/>
            </w:tabs>
            <w:rPr>
              <w:rFonts w:eastAsiaTheme="minorEastAsia" w:cstheme="minorBidi"/>
              <w:szCs w:val="22"/>
              <w:lang w:val="en-GB"/>
            </w:rPr>
          </w:pPr>
          <w:hyperlink w:anchor="_Toc54022746" w:history="1">
            <w:r w:rsidR="006068DD" w:rsidRPr="000F53C8">
              <w:rPr>
                <w:rStyle w:val="Hyperlink"/>
                <w:lang w:val="en-GB"/>
              </w:rPr>
              <w:t>2.3.1</w:t>
            </w:r>
            <w:r w:rsidR="006068DD" w:rsidRPr="000F53C8">
              <w:rPr>
                <w:rFonts w:eastAsiaTheme="minorEastAsia" w:cstheme="minorBidi"/>
                <w:szCs w:val="22"/>
                <w:lang w:val="en-GB"/>
              </w:rPr>
              <w:tab/>
            </w:r>
            <w:r w:rsidR="006068DD" w:rsidRPr="000F53C8">
              <w:rPr>
                <w:rStyle w:val="Hyperlink"/>
                <w:lang w:val="en-GB"/>
              </w:rPr>
              <w:t>General overview of groundwater use and institutional setting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_Toc54022746 \h </w:instrText>
            </w:r>
            <w:r w:rsidR="006068DD" w:rsidRPr="000F53C8">
              <w:rPr>
                <w:webHidden/>
                <w:lang w:val="en-GB"/>
              </w:rPr>
            </w:r>
            <w:r w:rsidR="006068DD" w:rsidRPr="000F53C8">
              <w:rPr>
                <w:webHidden/>
                <w:lang w:val="en-GB"/>
              </w:rPr>
              <w:fldChar w:fldCharType="separate"/>
            </w:r>
            <w:r w:rsidR="006068DD" w:rsidRPr="000F53C8">
              <w:rPr>
                <w:webHidden/>
                <w:lang w:val="en-GB"/>
              </w:rPr>
              <w:t>8</w:t>
            </w:r>
            <w:r w:rsidR="006068DD" w:rsidRPr="000F53C8">
              <w:rPr>
                <w:webHidden/>
                <w:lang w:val="en-GB"/>
              </w:rPr>
              <w:fldChar w:fldCharType="end"/>
            </w:r>
          </w:hyperlink>
        </w:p>
        <w:p w14:paraId="48742846" w14:textId="0F1D0434" w:rsidR="006068DD" w:rsidRPr="000F53C8" w:rsidRDefault="001F715E">
          <w:pPr>
            <w:pStyle w:val="TOC4"/>
            <w:tabs>
              <w:tab w:val="left" w:pos="1540"/>
              <w:tab w:val="right" w:leader="dot" w:pos="9630"/>
            </w:tabs>
            <w:rPr>
              <w:rFonts w:eastAsiaTheme="minorEastAsia" w:cstheme="minorBidi"/>
              <w:szCs w:val="22"/>
              <w:lang w:val="en-GB"/>
            </w:rPr>
          </w:pPr>
          <w:hyperlink w:anchor="_Toc54022747" w:history="1">
            <w:r w:rsidR="006068DD" w:rsidRPr="000F53C8">
              <w:rPr>
                <w:rStyle w:val="Hyperlink"/>
                <w:lang w:val="en-GB"/>
              </w:rPr>
              <w:t>2.3.2</w:t>
            </w:r>
            <w:r w:rsidR="006068DD" w:rsidRPr="000F53C8">
              <w:rPr>
                <w:rFonts w:eastAsiaTheme="minorEastAsia" w:cstheme="minorBidi"/>
                <w:szCs w:val="22"/>
                <w:lang w:val="en-GB"/>
              </w:rPr>
              <w:tab/>
            </w:r>
            <w:r w:rsidR="006068DD" w:rsidRPr="000F53C8">
              <w:rPr>
                <w:rStyle w:val="Hyperlink"/>
                <w:lang w:val="en-GB"/>
              </w:rPr>
              <w:t>Collection and management of borehole data</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_Toc54022747 \h </w:instrText>
            </w:r>
            <w:r w:rsidR="006068DD" w:rsidRPr="000F53C8">
              <w:rPr>
                <w:webHidden/>
                <w:lang w:val="en-GB"/>
              </w:rPr>
            </w:r>
            <w:r w:rsidR="006068DD" w:rsidRPr="000F53C8">
              <w:rPr>
                <w:webHidden/>
                <w:lang w:val="en-GB"/>
              </w:rPr>
              <w:fldChar w:fldCharType="separate"/>
            </w:r>
            <w:r w:rsidR="006068DD" w:rsidRPr="000F53C8">
              <w:rPr>
                <w:webHidden/>
                <w:lang w:val="en-GB"/>
              </w:rPr>
              <w:t>9</w:t>
            </w:r>
            <w:r w:rsidR="006068DD" w:rsidRPr="000F53C8">
              <w:rPr>
                <w:webHidden/>
                <w:lang w:val="en-GB"/>
              </w:rPr>
              <w:fldChar w:fldCharType="end"/>
            </w:r>
          </w:hyperlink>
        </w:p>
        <w:p w14:paraId="2B39EF15" w14:textId="4094B6E6" w:rsidR="006068DD" w:rsidRPr="000F53C8" w:rsidRDefault="001F715E">
          <w:pPr>
            <w:pStyle w:val="TOC4"/>
            <w:tabs>
              <w:tab w:val="left" w:pos="1540"/>
              <w:tab w:val="right" w:leader="dot" w:pos="9630"/>
            </w:tabs>
            <w:rPr>
              <w:rFonts w:eastAsiaTheme="minorEastAsia" w:cstheme="minorBidi"/>
              <w:szCs w:val="22"/>
              <w:lang w:val="en-GB"/>
            </w:rPr>
          </w:pPr>
          <w:hyperlink w:anchor="_Toc54022748" w:history="1">
            <w:r w:rsidR="006068DD" w:rsidRPr="000F53C8">
              <w:rPr>
                <w:rStyle w:val="Hyperlink"/>
                <w:lang w:val="en-GB"/>
              </w:rPr>
              <w:t>2.3.3</w:t>
            </w:r>
            <w:r w:rsidR="006068DD" w:rsidRPr="000F53C8">
              <w:rPr>
                <w:rFonts w:eastAsiaTheme="minorEastAsia" w:cstheme="minorBidi"/>
                <w:szCs w:val="22"/>
                <w:lang w:val="en-GB"/>
              </w:rPr>
              <w:tab/>
            </w:r>
            <w:r w:rsidR="006068DD" w:rsidRPr="000F53C8">
              <w:rPr>
                <w:rStyle w:val="Hyperlink"/>
                <w:lang w:val="en-GB"/>
              </w:rPr>
              <w:t>Groundwater monitoring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_Toc54022748 \h </w:instrText>
            </w:r>
            <w:r w:rsidR="006068DD" w:rsidRPr="000F53C8">
              <w:rPr>
                <w:webHidden/>
                <w:lang w:val="en-GB"/>
              </w:rPr>
            </w:r>
            <w:r w:rsidR="006068DD" w:rsidRPr="000F53C8">
              <w:rPr>
                <w:webHidden/>
                <w:lang w:val="en-GB"/>
              </w:rPr>
              <w:fldChar w:fldCharType="separate"/>
            </w:r>
            <w:r w:rsidR="006068DD" w:rsidRPr="000F53C8">
              <w:rPr>
                <w:webHidden/>
                <w:lang w:val="en-GB"/>
              </w:rPr>
              <w:t>9</w:t>
            </w:r>
            <w:r w:rsidR="006068DD" w:rsidRPr="000F53C8">
              <w:rPr>
                <w:webHidden/>
                <w:lang w:val="en-GB"/>
              </w:rPr>
              <w:fldChar w:fldCharType="end"/>
            </w:r>
          </w:hyperlink>
        </w:p>
        <w:p w14:paraId="6895B073" w14:textId="3A44CEF7" w:rsidR="006068DD" w:rsidRPr="000F53C8" w:rsidRDefault="001F715E">
          <w:pPr>
            <w:pStyle w:val="TOC3"/>
            <w:rPr>
              <w:rFonts w:eastAsiaTheme="minorEastAsia" w:cstheme="minorBidi"/>
              <w:b w:val="0"/>
              <w:noProof w:val="0"/>
              <w:szCs w:val="22"/>
            </w:rPr>
          </w:pPr>
          <w:hyperlink w:anchor="_Toc54022749" w:history="1">
            <w:r w:rsidR="006068DD" w:rsidRPr="000F53C8">
              <w:rPr>
                <w:rStyle w:val="Hyperlink"/>
                <w:bCs/>
                <w:noProof w:val="0"/>
                <w14:scene3d>
                  <w14:camera w14:prst="orthographicFront"/>
                  <w14:lightRig w14:rig="threePt" w14:dir="t">
                    <w14:rot w14:lat="0" w14:lon="0" w14:rev="0"/>
                  </w14:lightRig>
                </w14:scene3d>
              </w:rPr>
              <w:t>2.4</w:t>
            </w:r>
            <w:r w:rsidR="006068DD" w:rsidRPr="000F53C8">
              <w:rPr>
                <w:rFonts w:eastAsiaTheme="minorEastAsia" w:cstheme="minorBidi"/>
                <w:b w:val="0"/>
                <w:noProof w:val="0"/>
                <w:szCs w:val="22"/>
              </w:rPr>
              <w:tab/>
            </w:r>
            <w:r w:rsidR="006068DD" w:rsidRPr="000F53C8">
              <w:rPr>
                <w:rStyle w:val="Hyperlink"/>
                <w:noProof w:val="0"/>
              </w:rPr>
              <w:t>Senegal</w:t>
            </w:r>
            <w:r w:rsidR="006068DD" w:rsidRPr="000F53C8">
              <w:rPr>
                <w:noProof w:val="0"/>
                <w:webHidden/>
              </w:rPr>
              <w:tab/>
            </w:r>
            <w:r w:rsidR="006068DD" w:rsidRPr="000F53C8">
              <w:rPr>
                <w:noProof w:val="0"/>
                <w:webHidden/>
              </w:rPr>
              <w:fldChar w:fldCharType="begin"/>
            </w:r>
            <w:r w:rsidR="006068DD" w:rsidRPr="000F53C8">
              <w:rPr>
                <w:noProof w:val="0"/>
                <w:webHidden/>
              </w:rPr>
              <w:instrText xml:space="preserve"> PAGEREF _Toc54022749 \h </w:instrText>
            </w:r>
            <w:r w:rsidR="006068DD" w:rsidRPr="000F53C8">
              <w:rPr>
                <w:noProof w:val="0"/>
                <w:webHidden/>
              </w:rPr>
            </w:r>
            <w:r w:rsidR="006068DD" w:rsidRPr="000F53C8">
              <w:rPr>
                <w:noProof w:val="0"/>
                <w:webHidden/>
              </w:rPr>
              <w:fldChar w:fldCharType="separate"/>
            </w:r>
            <w:r w:rsidR="006068DD" w:rsidRPr="000F53C8">
              <w:rPr>
                <w:noProof w:val="0"/>
                <w:webHidden/>
              </w:rPr>
              <w:t>10</w:t>
            </w:r>
            <w:r w:rsidR="006068DD" w:rsidRPr="000F53C8">
              <w:rPr>
                <w:noProof w:val="0"/>
                <w:webHidden/>
              </w:rPr>
              <w:fldChar w:fldCharType="end"/>
            </w:r>
          </w:hyperlink>
        </w:p>
        <w:p w14:paraId="519F11FB" w14:textId="3424AA19" w:rsidR="006068DD" w:rsidRPr="000F53C8" w:rsidRDefault="001F715E">
          <w:pPr>
            <w:pStyle w:val="TOC4"/>
            <w:tabs>
              <w:tab w:val="left" w:pos="1540"/>
              <w:tab w:val="right" w:leader="dot" w:pos="9630"/>
            </w:tabs>
            <w:rPr>
              <w:rFonts w:eastAsiaTheme="minorEastAsia" w:cstheme="minorBidi"/>
              <w:szCs w:val="22"/>
              <w:lang w:val="en-GB"/>
            </w:rPr>
          </w:pPr>
          <w:hyperlink w:anchor="_Toc54022750" w:history="1">
            <w:r w:rsidR="006068DD" w:rsidRPr="000F53C8">
              <w:rPr>
                <w:rStyle w:val="Hyperlink"/>
                <w:lang w:val="en-GB"/>
              </w:rPr>
              <w:t>2.4.1</w:t>
            </w:r>
            <w:r w:rsidR="006068DD" w:rsidRPr="000F53C8">
              <w:rPr>
                <w:rFonts w:eastAsiaTheme="minorEastAsia" w:cstheme="minorBidi"/>
                <w:szCs w:val="22"/>
                <w:lang w:val="en-GB"/>
              </w:rPr>
              <w:tab/>
            </w:r>
            <w:r w:rsidR="006068DD" w:rsidRPr="000F53C8">
              <w:rPr>
                <w:rStyle w:val="Hyperlink"/>
                <w:lang w:val="en-GB"/>
              </w:rPr>
              <w:t>General overview of groundwater use and institutional setting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_Toc54022750 \h </w:instrText>
            </w:r>
            <w:r w:rsidR="006068DD" w:rsidRPr="000F53C8">
              <w:rPr>
                <w:webHidden/>
                <w:lang w:val="en-GB"/>
              </w:rPr>
            </w:r>
            <w:r w:rsidR="006068DD" w:rsidRPr="000F53C8">
              <w:rPr>
                <w:webHidden/>
                <w:lang w:val="en-GB"/>
              </w:rPr>
              <w:fldChar w:fldCharType="separate"/>
            </w:r>
            <w:r w:rsidR="006068DD" w:rsidRPr="000F53C8">
              <w:rPr>
                <w:webHidden/>
                <w:lang w:val="en-GB"/>
              </w:rPr>
              <w:t>10</w:t>
            </w:r>
            <w:r w:rsidR="006068DD" w:rsidRPr="000F53C8">
              <w:rPr>
                <w:webHidden/>
                <w:lang w:val="en-GB"/>
              </w:rPr>
              <w:fldChar w:fldCharType="end"/>
            </w:r>
          </w:hyperlink>
        </w:p>
        <w:p w14:paraId="5E819ABB" w14:textId="28A15831" w:rsidR="006068DD" w:rsidRPr="000F53C8" w:rsidRDefault="001F715E">
          <w:pPr>
            <w:pStyle w:val="TOC4"/>
            <w:tabs>
              <w:tab w:val="left" w:pos="1540"/>
              <w:tab w:val="right" w:leader="dot" w:pos="9630"/>
            </w:tabs>
            <w:rPr>
              <w:rFonts w:eastAsiaTheme="minorEastAsia" w:cstheme="minorBidi"/>
              <w:szCs w:val="22"/>
              <w:lang w:val="en-GB"/>
            </w:rPr>
          </w:pPr>
          <w:hyperlink w:anchor="_Toc54022751" w:history="1">
            <w:r w:rsidR="006068DD" w:rsidRPr="000F53C8">
              <w:rPr>
                <w:rStyle w:val="Hyperlink"/>
                <w:lang w:val="en-GB"/>
              </w:rPr>
              <w:t>2.4.2</w:t>
            </w:r>
            <w:r w:rsidR="006068DD" w:rsidRPr="000F53C8">
              <w:rPr>
                <w:rFonts w:eastAsiaTheme="minorEastAsia" w:cstheme="minorBidi"/>
                <w:szCs w:val="22"/>
                <w:lang w:val="en-GB"/>
              </w:rPr>
              <w:tab/>
            </w:r>
            <w:r w:rsidR="006068DD" w:rsidRPr="000F53C8">
              <w:rPr>
                <w:rStyle w:val="Hyperlink"/>
                <w:lang w:val="en-GB"/>
              </w:rPr>
              <w:t>Collection and management of borehole data</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_Toc54022751 \h </w:instrText>
            </w:r>
            <w:r w:rsidR="006068DD" w:rsidRPr="000F53C8">
              <w:rPr>
                <w:webHidden/>
                <w:lang w:val="en-GB"/>
              </w:rPr>
            </w:r>
            <w:r w:rsidR="006068DD" w:rsidRPr="000F53C8">
              <w:rPr>
                <w:webHidden/>
                <w:lang w:val="en-GB"/>
              </w:rPr>
              <w:fldChar w:fldCharType="separate"/>
            </w:r>
            <w:r w:rsidR="006068DD" w:rsidRPr="000F53C8">
              <w:rPr>
                <w:webHidden/>
                <w:lang w:val="en-GB"/>
              </w:rPr>
              <w:t>11</w:t>
            </w:r>
            <w:r w:rsidR="006068DD" w:rsidRPr="000F53C8">
              <w:rPr>
                <w:webHidden/>
                <w:lang w:val="en-GB"/>
              </w:rPr>
              <w:fldChar w:fldCharType="end"/>
            </w:r>
          </w:hyperlink>
        </w:p>
        <w:p w14:paraId="2D19DBE4" w14:textId="155033BF" w:rsidR="006068DD" w:rsidRPr="000F53C8" w:rsidRDefault="001F715E">
          <w:pPr>
            <w:pStyle w:val="TOC4"/>
            <w:tabs>
              <w:tab w:val="left" w:pos="1540"/>
              <w:tab w:val="right" w:leader="dot" w:pos="9630"/>
            </w:tabs>
            <w:rPr>
              <w:rFonts w:eastAsiaTheme="minorEastAsia" w:cstheme="minorBidi"/>
              <w:szCs w:val="22"/>
              <w:lang w:val="en-GB"/>
            </w:rPr>
          </w:pPr>
          <w:hyperlink w:anchor="_Toc54022752" w:history="1">
            <w:r w:rsidR="006068DD" w:rsidRPr="000F53C8">
              <w:rPr>
                <w:rStyle w:val="Hyperlink"/>
                <w:lang w:val="en-GB"/>
              </w:rPr>
              <w:t>2.4.3</w:t>
            </w:r>
            <w:r w:rsidR="006068DD" w:rsidRPr="000F53C8">
              <w:rPr>
                <w:rFonts w:eastAsiaTheme="minorEastAsia" w:cstheme="minorBidi"/>
                <w:szCs w:val="22"/>
                <w:lang w:val="en-GB"/>
              </w:rPr>
              <w:tab/>
            </w:r>
            <w:r w:rsidR="006068DD" w:rsidRPr="000F53C8">
              <w:rPr>
                <w:rStyle w:val="Hyperlink"/>
                <w:lang w:val="en-GB"/>
              </w:rPr>
              <w:t>Groundwater monitoring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_Toc54022752 \h </w:instrText>
            </w:r>
            <w:r w:rsidR="006068DD" w:rsidRPr="000F53C8">
              <w:rPr>
                <w:webHidden/>
                <w:lang w:val="en-GB"/>
              </w:rPr>
            </w:r>
            <w:r w:rsidR="006068DD" w:rsidRPr="000F53C8">
              <w:rPr>
                <w:webHidden/>
                <w:lang w:val="en-GB"/>
              </w:rPr>
              <w:fldChar w:fldCharType="separate"/>
            </w:r>
            <w:r w:rsidR="006068DD" w:rsidRPr="000F53C8">
              <w:rPr>
                <w:webHidden/>
                <w:lang w:val="en-GB"/>
              </w:rPr>
              <w:t>11</w:t>
            </w:r>
            <w:r w:rsidR="006068DD" w:rsidRPr="000F53C8">
              <w:rPr>
                <w:webHidden/>
                <w:lang w:val="en-GB"/>
              </w:rPr>
              <w:fldChar w:fldCharType="end"/>
            </w:r>
          </w:hyperlink>
        </w:p>
        <w:p w14:paraId="54157924" w14:textId="54719E37" w:rsidR="006068DD" w:rsidRPr="000F53C8" w:rsidRDefault="001F715E">
          <w:pPr>
            <w:pStyle w:val="TOC3"/>
            <w:rPr>
              <w:rFonts w:eastAsiaTheme="minorEastAsia" w:cstheme="minorBidi"/>
              <w:b w:val="0"/>
              <w:noProof w:val="0"/>
              <w:szCs w:val="22"/>
            </w:rPr>
          </w:pPr>
          <w:hyperlink w:anchor="_Toc54022753" w:history="1">
            <w:r w:rsidR="006068DD" w:rsidRPr="000F53C8">
              <w:rPr>
                <w:rStyle w:val="Hyperlink"/>
                <w:bCs/>
                <w:noProof w:val="0"/>
                <w14:scene3d>
                  <w14:camera w14:prst="orthographicFront"/>
                  <w14:lightRig w14:rig="threePt" w14:dir="t">
                    <w14:rot w14:lat="0" w14:lon="0" w14:rev="0"/>
                  </w14:lightRig>
                </w14:scene3d>
              </w:rPr>
              <w:t>2.5</w:t>
            </w:r>
            <w:r w:rsidR="006068DD" w:rsidRPr="000F53C8">
              <w:rPr>
                <w:rFonts w:eastAsiaTheme="minorEastAsia" w:cstheme="minorBidi"/>
                <w:b w:val="0"/>
                <w:noProof w:val="0"/>
                <w:szCs w:val="22"/>
              </w:rPr>
              <w:tab/>
            </w:r>
            <w:r w:rsidR="006068DD" w:rsidRPr="000F53C8">
              <w:rPr>
                <w:rStyle w:val="Hyperlink"/>
                <w:noProof w:val="0"/>
              </w:rPr>
              <w:t>OMVS and OMVG</w:t>
            </w:r>
            <w:r w:rsidR="006068DD" w:rsidRPr="000F53C8">
              <w:rPr>
                <w:noProof w:val="0"/>
                <w:webHidden/>
              </w:rPr>
              <w:tab/>
            </w:r>
            <w:r w:rsidR="006068DD" w:rsidRPr="000F53C8">
              <w:rPr>
                <w:noProof w:val="0"/>
                <w:webHidden/>
              </w:rPr>
              <w:fldChar w:fldCharType="begin"/>
            </w:r>
            <w:r w:rsidR="006068DD" w:rsidRPr="000F53C8">
              <w:rPr>
                <w:noProof w:val="0"/>
                <w:webHidden/>
              </w:rPr>
              <w:instrText xml:space="preserve"> PAGEREF _Toc54022753 \h </w:instrText>
            </w:r>
            <w:r w:rsidR="006068DD" w:rsidRPr="000F53C8">
              <w:rPr>
                <w:noProof w:val="0"/>
                <w:webHidden/>
              </w:rPr>
            </w:r>
            <w:r w:rsidR="006068DD" w:rsidRPr="000F53C8">
              <w:rPr>
                <w:noProof w:val="0"/>
                <w:webHidden/>
              </w:rPr>
              <w:fldChar w:fldCharType="separate"/>
            </w:r>
            <w:r w:rsidR="006068DD" w:rsidRPr="000F53C8">
              <w:rPr>
                <w:noProof w:val="0"/>
                <w:webHidden/>
              </w:rPr>
              <w:t>12</w:t>
            </w:r>
            <w:r w:rsidR="006068DD" w:rsidRPr="000F53C8">
              <w:rPr>
                <w:noProof w:val="0"/>
                <w:webHidden/>
              </w:rPr>
              <w:fldChar w:fldCharType="end"/>
            </w:r>
          </w:hyperlink>
        </w:p>
        <w:p w14:paraId="56D54693" w14:textId="42FC9AD1" w:rsidR="006068DD" w:rsidRPr="000F53C8" w:rsidRDefault="001F715E">
          <w:pPr>
            <w:pStyle w:val="TOC2"/>
            <w:tabs>
              <w:tab w:val="left" w:pos="660"/>
              <w:tab w:val="right" w:leader="dot" w:pos="9630"/>
            </w:tabs>
            <w:rPr>
              <w:rFonts w:eastAsiaTheme="minorEastAsia" w:cstheme="minorBidi"/>
              <w:szCs w:val="22"/>
              <w:lang w:val="en-GB"/>
            </w:rPr>
          </w:pPr>
          <w:hyperlink w:anchor="_Toc54022754" w:history="1">
            <w:r w:rsidR="006068DD" w:rsidRPr="000F53C8">
              <w:rPr>
                <w:rStyle w:val="Hyperlink"/>
                <w:lang w:val="en-GB"/>
              </w:rPr>
              <w:t>3</w:t>
            </w:r>
            <w:r w:rsidR="006068DD" w:rsidRPr="000F53C8">
              <w:rPr>
                <w:rFonts w:eastAsiaTheme="minorEastAsia" w:cstheme="minorBidi"/>
                <w:szCs w:val="22"/>
                <w:lang w:val="en-GB"/>
              </w:rPr>
              <w:tab/>
            </w:r>
            <w:r w:rsidR="006068DD" w:rsidRPr="000F53C8">
              <w:rPr>
                <w:rStyle w:val="Hyperlink"/>
                <w:lang w:val="en-GB"/>
              </w:rPr>
              <w:t>Management issues and recommendations</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_Toc54022754 \h </w:instrText>
            </w:r>
            <w:r w:rsidR="006068DD" w:rsidRPr="000F53C8">
              <w:rPr>
                <w:webHidden/>
                <w:lang w:val="en-GB"/>
              </w:rPr>
            </w:r>
            <w:r w:rsidR="006068DD" w:rsidRPr="000F53C8">
              <w:rPr>
                <w:webHidden/>
                <w:lang w:val="en-GB"/>
              </w:rPr>
              <w:fldChar w:fldCharType="separate"/>
            </w:r>
            <w:r w:rsidR="006068DD" w:rsidRPr="000F53C8">
              <w:rPr>
                <w:webHidden/>
                <w:lang w:val="en-GB"/>
              </w:rPr>
              <w:t>12</w:t>
            </w:r>
            <w:r w:rsidR="006068DD" w:rsidRPr="000F53C8">
              <w:rPr>
                <w:webHidden/>
                <w:lang w:val="en-GB"/>
              </w:rPr>
              <w:fldChar w:fldCharType="end"/>
            </w:r>
          </w:hyperlink>
        </w:p>
        <w:p w14:paraId="4F014FD7" w14:textId="44023ABF" w:rsidR="006068DD" w:rsidRPr="000F53C8" w:rsidRDefault="001F715E">
          <w:pPr>
            <w:pStyle w:val="TOC4"/>
            <w:tabs>
              <w:tab w:val="left" w:pos="1100"/>
              <w:tab w:val="right" w:leader="dot" w:pos="9630"/>
            </w:tabs>
            <w:rPr>
              <w:rFonts w:eastAsiaTheme="minorEastAsia" w:cstheme="minorBidi"/>
              <w:szCs w:val="22"/>
              <w:lang w:val="en-GB"/>
            </w:rPr>
          </w:pPr>
          <w:hyperlink w:anchor="_Toc54022755" w:history="1">
            <w:r w:rsidR="006068DD" w:rsidRPr="000F53C8">
              <w:rPr>
                <w:rStyle w:val="Hyperlink"/>
                <w:lang w:val="en-GB"/>
              </w:rPr>
              <w:t>i.</w:t>
            </w:r>
            <w:r w:rsidR="006068DD" w:rsidRPr="000F53C8">
              <w:rPr>
                <w:rFonts w:eastAsiaTheme="minorEastAsia" w:cstheme="minorBidi"/>
                <w:szCs w:val="22"/>
                <w:lang w:val="en-GB"/>
              </w:rPr>
              <w:tab/>
            </w:r>
            <w:r w:rsidR="006068DD" w:rsidRPr="000F53C8">
              <w:rPr>
                <w:rStyle w:val="Hyperlink"/>
                <w:lang w:val="en-GB"/>
              </w:rPr>
              <w:t>Groundwater governance</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_Toc54022755 \h </w:instrText>
            </w:r>
            <w:r w:rsidR="006068DD" w:rsidRPr="000F53C8">
              <w:rPr>
                <w:webHidden/>
                <w:lang w:val="en-GB"/>
              </w:rPr>
            </w:r>
            <w:r w:rsidR="006068DD" w:rsidRPr="000F53C8">
              <w:rPr>
                <w:webHidden/>
                <w:lang w:val="en-GB"/>
              </w:rPr>
              <w:fldChar w:fldCharType="separate"/>
            </w:r>
            <w:r w:rsidR="006068DD" w:rsidRPr="000F53C8">
              <w:rPr>
                <w:webHidden/>
                <w:lang w:val="en-GB"/>
              </w:rPr>
              <w:t>12</w:t>
            </w:r>
            <w:r w:rsidR="006068DD" w:rsidRPr="000F53C8">
              <w:rPr>
                <w:webHidden/>
                <w:lang w:val="en-GB"/>
              </w:rPr>
              <w:fldChar w:fldCharType="end"/>
            </w:r>
          </w:hyperlink>
        </w:p>
        <w:p w14:paraId="0060CE2A" w14:textId="234E2B26" w:rsidR="006068DD" w:rsidRPr="000F53C8" w:rsidRDefault="001F715E">
          <w:pPr>
            <w:pStyle w:val="TOC4"/>
            <w:tabs>
              <w:tab w:val="left" w:pos="1100"/>
              <w:tab w:val="right" w:leader="dot" w:pos="9630"/>
            </w:tabs>
            <w:rPr>
              <w:rFonts w:eastAsiaTheme="minorEastAsia" w:cstheme="minorBidi"/>
              <w:szCs w:val="22"/>
              <w:lang w:val="en-GB"/>
            </w:rPr>
          </w:pPr>
          <w:hyperlink w:anchor="_Toc54022756" w:history="1">
            <w:r w:rsidR="006068DD" w:rsidRPr="000F53C8">
              <w:rPr>
                <w:rStyle w:val="Hyperlink"/>
                <w:lang w:val="en-GB"/>
              </w:rPr>
              <w:t>ii.</w:t>
            </w:r>
            <w:r w:rsidR="006068DD" w:rsidRPr="000F53C8">
              <w:rPr>
                <w:rFonts w:eastAsiaTheme="minorEastAsia" w:cstheme="minorBidi"/>
                <w:szCs w:val="22"/>
                <w:lang w:val="en-GB"/>
              </w:rPr>
              <w:tab/>
            </w:r>
            <w:r w:rsidR="006068DD" w:rsidRPr="000F53C8">
              <w:rPr>
                <w:rStyle w:val="Hyperlink"/>
                <w:lang w:val="en-GB"/>
              </w:rPr>
              <w:t>Borehole licensing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_Toc54022756 \h </w:instrText>
            </w:r>
            <w:r w:rsidR="006068DD" w:rsidRPr="000F53C8">
              <w:rPr>
                <w:webHidden/>
                <w:lang w:val="en-GB"/>
              </w:rPr>
            </w:r>
            <w:r w:rsidR="006068DD" w:rsidRPr="000F53C8">
              <w:rPr>
                <w:webHidden/>
                <w:lang w:val="en-GB"/>
              </w:rPr>
              <w:fldChar w:fldCharType="separate"/>
            </w:r>
            <w:r w:rsidR="006068DD" w:rsidRPr="000F53C8">
              <w:rPr>
                <w:webHidden/>
                <w:lang w:val="en-GB"/>
              </w:rPr>
              <w:t>13</w:t>
            </w:r>
            <w:r w:rsidR="006068DD" w:rsidRPr="000F53C8">
              <w:rPr>
                <w:webHidden/>
                <w:lang w:val="en-GB"/>
              </w:rPr>
              <w:fldChar w:fldCharType="end"/>
            </w:r>
          </w:hyperlink>
        </w:p>
        <w:p w14:paraId="1CD1D9AE" w14:textId="0220554C" w:rsidR="006068DD" w:rsidRPr="000F53C8" w:rsidRDefault="001F715E">
          <w:pPr>
            <w:pStyle w:val="TOC4"/>
            <w:tabs>
              <w:tab w:val="left" w:pos="1100"/>
              <w:tab w:val="right" w:leader="dot" w:pos="9630"/>
            </w:tabs>
            <w:rPr>
              <w:rFonts w:eastAsiaTheme="minorEastAsia" w:cstheme="minorBidi"/>
              <w:szCs w:val="22"/>
              <w:lang w:val="en-GB"/>
            </w:rPr>
          </w:pPr>
          <w:hyperlink w:anchor="_Toc54022757" w:history="1">
            <w:r w:rsidR="006068DD" w:rsidRPr="000F53C8">
              <w:rPr>
                <w:rStyle w:val="Hyperlink"/>
                <w:lang w:val="en-GB"/>
              </w:rPr>
              <w:t>iii.</w:t>
            </w:r>
            <w:r w:rsidR="006068DD" w:rsidRPr="000F53C8">
              <w:rPr>
                <w:rFonts w:eastAsiaTheme="minorEastAsia" w:cstheme="minorBidi"/>
                <w:szCs w:val="22"/>
                <w:lang w:val="en-GB"/>
              </w:rPr>
              <w:tab/>
            </w:r>
            <w:r w:rsidR="006068DD" w:rsidRPr="000F53C8">
              <w:rPr>
                <w:rStyle w:val="Hyperlink"/>
                <w:lang w:val="en-GB"/>
              </w:rPr>
              <w:t>Groundwater monitoring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_Toc54022757 \h </w:instrText>
            </w:r>
            <w:r w:rsidR="006068DD" w:rsidRPr="000F53C8">
              <w:rPr>
                <w:webHidden/>
                <w:lang w:val="en-GB"/>
              </w:rPr>
            </w:r>
            <w:r w:rsidR="006068DD" w:rsidRPr="000F53C8">
              <w:rPr>
                <w:webHidden/>
                <w:lang w:val="en-GB"/>
              </w:rPr>
              <w:fldChar w:fldCharType="separate"/>
            </w:r>
            <w:r w:rsidR="006068DD" w:rsidRPr="000F53C8">
              <w:rPr>
                <w:webHidden/>
                <w:lang w:val="en-GB"/>
              </w:rPr>
              <w:t>13</w:t>
            </w:r>
            <w:r w:rsidR="006068DD" w:rsidRPr="000F53C8">
              <w:rPr>
                <w:webHidden/>
                <w:lang w:val="en-GB"/>
              </w:rPr>
              <w:fldChar w:fldCharType="end"/>
            </w:r>
          </w:hyperlink>
        </w:p>
        <w:p w14:paraId="3998B96F" w14:textId="03E30866" w:rsidR="006068DD" w:rsidRPr="000F53C8" w:rsidRDefault="001F715E">
          <w:pPr>
            <w:pStyle w:val="TOC4"/>
            <w:tabs>
              <w:tab w:val="left" w:pos="1100"/>
              <w:tab w:val="right" w:leader="dot" w:pos="9630"/>
            </w:tabs>
            <w:rPr>
              <w:rFonts w:eastAsiaTheme="minorEastAsia" w:cstheme="minorBidi"/>
              <w:szCs w:val="22"/>
              <w:lang w:val="en-GB"/>
            </w:rPr>
          </w:pPr>
          <w:hyperlink w:anchor="_Toc54022758" w:history="1">
            <w:r w:rsidR="006068DD" w:rsidRPr="000F53C8">
              <w:rPr>
                <w:rStyle w:val="Hyperlink"/>
                <w:lang w:val="en-GB"/>
              </w:rPr>
              <w:t>iv.</w:t>
            </w:r>
            <w:r w:rsidR="006068DD" w:rsidRPr="000F53C8">
              <w:rPr>
                <w:rFonts w:eastAsiaTheme="minorEastAsia" w:cstheme="minorBidi"/>
                <w:szCs w:val="22"/>
                <w:lang w:val="en-GB"/>
              </w:rPr>
              <w:tab/>
            </w:r>
            <w:r w:rsidR="006068DD" w:rsidRPr="000F53C8">
              <w:rPr>
                <w:rStyle w:val="Hyperlink"/>
                <w:lang w:val="en-GB"/>
              </w:rPr>
              <w:t>Research and knowledge gaps</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_Toc54022758 \h </w:instrText>
            </w:r>
            <w:r w:rsidR="006068DD" w:rsidRPr="000F53C8">
              <w:rPr>
                <w:webHidden/>
                <w:lang w:val="en-GB"/>
              </w:rPr>
            </w:r>
            <w:r w:rsidR="006068DD" w:rsidRPr="000F53C8">
              <w:rPr>
                <w:webHidden/>
                <w:lang w:val="en-GB"/>
              </w:rPr>
              <w:fldChar w:fldCharType="separate"/>
            </w:r>
            <w:r w:rsidR="006068DD" w:rsidRPr="000F53C8">
              <w:rPr>
                <w:webHidden/>
                <w:lang w:val="en-GB"/>
              </w:rPr>
              <w:t>14</w:t>
            </w:r>
            <w:r w:rsidR="006068DD" w:rsidRPr="000F53C8">
              <w:rPr>
                <w:webHidden/>
                <w:lang w:val="en-GB"/>
              </w:rPr>
              <w:fldChar w:fldCharType="end"/>
            </w:r>
          </w:hyperlink>
        </w:p>
        <w:p w14:paraId="330EBBA8" w14:textId="5C65CE53" w:rsidR="006068DD" w:rsidRPr="000F53C8" w:rsidRDefault="001F715E">
          <w:pPr>
            <w:pStyle w:val="TOC4"/>
            <w:tabs>
              <w:tab w:val="left" w:pos="1100"/>
              <w:tab w:val="right" w:leader="dot" w:pos="9630"/>
            </w:tabs>
            <w:rPr>
              <w:rFonts w:eastAsiaTheme="minorEastAsia" w:cstheme="minorBidi"/>
              <w:szCs w:val="22"/>
              <w:lang w:val="en-GB"/>
            </w:rPr>
          </w:pPr>
          <w:hyperlink w:anchor="_Toc54022759" w:history="1">
            <w:r w:rsidR="006068DD" w:rsidRPr="000F53C8">
              <w:rPr>
                <w:rStyle w:val="Hyperlink"/>
                <w:lang w:val="en-GB"/>
              </w:rPr>
              <w:t>v.</w:t>
            </w:r>
            <w:r w:rsidR="006068DD" w:rsidRPr="000F53C8">
              <w:rPr>
                <w:rFonts w:eastAsiaTheme="minorEastAsia" w:cstheme="minorBidi"/>
                <w:szCs w:val="22"/>
                <w:lang w:val="en-GB"/>
              </w:rPr>
              <w:tab/>
            </w:r>
            <w:r w:rsidR="006068DD" w:rsidRPr="000F53C8">
              <w:rPr>
                <w:rStyle w:val="Hyperlink"/>
                <w:lang w:val="en-GB"/>
              </w:rPr>
              <w:t>Data storage</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_Toc54022759 \h </w:instrText>
            </w:r>
            <w:r w:rsidR="006068DD" w:rsidRPr="000F53C8">
              <w:rPr>
                <w:webHidden/>
                <w:lang w:val="en-GB"/>
              </w:rPr>
            </w:r>
            <w:r w:rsidR="006068DD" w:rsidRPr="000F53C8">
              <w:rPr>
                <w:webHidden/>
                <w:lang w:val="en-GB"/>
              </w:rPr>
              <w:fldChar w:fldCharType="separate"/>
            </w:r>
            <w:r w:rsidR="006068DD" w:rsidRPr="000F53C8">
              <w:rPr>
                <w:webHidden/>
                <w:lang w:val="en-GB"/>
              </w:rPr>
              <w:t>14</w:t>
            </w:r>
            <w:r w:rsidR="006068DD" w:rsidRPr="000F53C8">
              <w:rPr>
                <w:webHidden/>
                <w:lang w:val="en-GB"/>
              </w:rPr>
              <w:fldChar w:fldCharType="end"/>
            </w:r>
          </w:hyperlink>
        </w:p>
        <w:p w14:paraId="5741D7D3" w14:textId="497B5782" w:rsidR="006068DD" w:rsidRPr="000F53C8" w:rsidRDefault="001F715E">
          <w:pPr>
            <w:pStyle w:val="TOC4"/>
            <w:tabs>
              <w:tab w:val="left" w:pos="1100"/>
              <w:tab w:val="right" w:leader="dot" w:pos="9630"/>
            </w:tabs>
            <w:rPr>
              <w:rFonts w:eastAsiaTheme="minorEastAsia" w:cstheme="minorBidi"/>
              <w:szCs w:val="22"/>
              <w:lang w:val="en-GB"/>
            </w:rPr>
          </w:pPr>
          <w:hyperlink w:anchor="_Toc54022760" w:history="1">
            <w:r w:rsidR="006068DD" w:rsidRPr="000F53C8">
              <w:rPr>
                <w:rStyle w:val="Hyperlink"/>
                <w:lang w:val="en-GB"/>
              </w:rPr>
              <w:t>vi.</w:t>
            </w:r>
            <w:r w:rsidR="006068DD" w:rsidRPr="000F53C8">
              <w:rPr>
                <w:rFonts w:eastAsiaTheme="minorEastAsia" w:cstheme="minorBidi"/>
                <w:szCs w:val="22"/>
                <w:lang w:val="en-GB"/>
              </w:rPr>
              <w:tab/>
            </w:r>
            <w:r w:rsidR="006068DD" w:rsidRPr="000F53C8">
              <w:rPr>
                <w:rStyle w:val="Hyperlink"/>
                <w:lang w:val="en-GB"/>
              </w:rPr>
              <w:t>Data sharing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_Toc54022760 \h </w:instrText>
            </w:r>
            <w:r w:rsidR="006068DD" w:rsidRPr="000F53C8">
              <w:rPr>
                <w:webHidden/>
                <w:lang w:val="en-GB"/>
              </w:rPr>
            </w:r>
            <w:r w:rsidR="006068DD" w:rsidRPr="000F53C8">
              <w:rPr>
                <w:webHidden/>
                <w:lang w:val="en-GB"/>
              </w:rPr>
              <w:fldChar w:fldCharType="separate"/>
            </w:r>
            <w:r w:rsidR="006068DD" w:rsidRPr="000F53C8">
              <w:rPr>
                <w:webHidden/>
                <w:lang w:val="en-GB"/>
              </w:rPr>
              <w:t>14</w:t>
            </w:r>
            <w:r w:rsidR="006068DD" w:rsidRPr="000F53C8">
              <w:rPr>
                <w:webHidden/>
                <w:lang w:val="en-GB"/>
              </w:rPr>
              <w:fldChar w:fldCharType="end"/>
            </w:r>
          </w:hyperlink>
        </w:p>
        <w:p w14:paraId="1401918C" w14:textId="3AD92030" w:rsidR="006068DD" w:rsidRPr="000F53C8" w:rsidRDefault="001F715E">
          <w:pPr>
            <w:pStyle w:val="TOC4"/>
            <w:tabs>
              <w:tab w:val="left" w:pos="1320"/>
              <w:tab w:val="right" w:leader="dot" w:pos="9630"/>
            </w:tabs>
            <w:rPr>
              <w:rFonts w:eastAsiaTheme="minorEastAsia" w:cstheme="minorBidi"/>
              <w:szCs w:val="22"/>
              <w:lang w:val="en-GB"/>
            </w:rPr>
          </w:pPr>
          <w:hyperlink w:anchor="_Toc54022761" w:history="1">
            <w:r w:rsidR="006068DD" w:rsidRPr="000F53C8">
              <w:rPr>
                <w:rStyle w:val="Hyperlink"/>
                <w:lang w:val="en-GB"/>
              </w:rPr>
              <w:t>vii.</w:t>
            </w:r>
            <w:r w:rsidR="006068DD" w:rsidRPr="000F53C8">
              <w:rPr>
                <w:rFonts w:eastAsiaTheme="minorEastAsia" w:cstheme="minorBidi"/>
                <w:szCs w:val="22"/>
                <w:lang w:val="en-GB"/>
              </w:rPr>
              <w:tab/>
            </w:r>
            <w:r w:rsidR="006068DD" w:rsidRPr="000F53C8">
              <w:rPr>
                <w:rStyle w:val="Hyperlink"/>
                <w:lang w:val="en-GB"/>
              </w:rPr>
              <w:t>Engagement of drinking water supply companies</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_Toc54022761 \h </w:instrText>
            </w:r>
            <w:r w:rsidR="006068DD" w:rsidRPr="000F53C8">
              <w:rPr>
                <w:webHidden/>
                <w:lang w:val="en-GB"/>
              </w:rPr>
            </w:r>
            <w:r w:rsidR="006068DD" w:rsidRPr="000F53C8">
              <w:rPr>
                <w:webHidden/>
                <w:lang w:val="en-GB"/>
              </w:rPr>
              <w:fldChar w:fldCharType="separate"/>
            </w:r>
            <w:r w:rsidR="006068DD" w:rsidRPr="000F53C8">
              <w:rPr>
                <w:webHidden/>
                <w:lang w:val="en-GB"/>
              </w:rPr>
              <w:t>14</w:t>
            </w:r>
            <w:r w:rsidR="006068DD" w:rsidRPr="000F53C8">
              <w:rPr>
                <w:webHidden/>
                <w:lang w:val="en-GB"/>
              </w:rPr>
              <w:fldChar w:fldCharType="end"/>
            </w:r>
          </w:hyperlink>
        </w:p>
        <w:p w14:paraId="1B395DCF" w14:textId="57A062A9" w:rsidR="006068DD" w:rsidRPr="000F53C8" w:rsidRDefault="001F715E">
          <w:pPr>
            <w:pStyle w:val="TOC4"/>
            <w:tabs>
              <w:tab w:val="left" w:pos="1320"/>
              <w:tab w:val="right" w:leader="dot" w:pos="9630"/>
            </w:tabs>
            <w:rPr>
              <w:rFonts w:eastAsiaTheme="minorEastAsia" w:cstheme="minorBidi"/>
              <w:szCs w:val="22"/>
              <w:lang w:val="en-GB"/>
            </w:rPr>
          </w:pPr>
          <w:hyperlink w:anchor="_Toc54022762" w:history="1">
            <w:r w:rsidR="006068DD" w:rsidRPr="000F53C8">
              <w:rPr>
                <w:rStyle w:val="Hyperlink"/>
                <w:lang w:val="en-GB"/>
              </w:rPr>
              <w:t>viii.</w:t>
            </w:r>
            <w:r w:rsidR="006068DD" w:rsidRPr="000F53C8">
              <w:rPr>
                <w:rFonts w:eastAsiaTheme="minorEastAsia" w:cstheme="minorBidi"/>
                <w:szCs w:val="22"/>
                <w:lang w:val="en-GB"/>
              </w:rPr>
              <w:tab/>
            </w:r>
            <w:r w:rsidR="006068DD" w:rsidRPr="000F53C8">
              <w:rPr>
                <w:rStyle w:val="Hyperlink"/>
                <w:lang w:val="en-GB"/>
              </w:rPr>
              <w:t>Translating data into information</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_Toc54022762 \h </w:instrText>
            </w:r>
            <w:r w:rsidR="006068DD" w:rsidRPr="000F53C8">
              <w:rPr>
                <w:webHidden/>
                <w:lang w:val="en-GB"/>
              </w:rPr>
            </w:r>
            <w:r w:rsidR="006068DD" w:rsidRPr="000F53C8">
              <w:rPr>
                <w:webHidden/>
                <w:lang w:val="en-GB"/>
              </w:rPr>
              <w:fldChar w:fldCharType="separate"/>
            </w:r>
            <w:r w:rsidR="006068DD" w:rsidRPr="000F53C8">
              <w:rPr>
                <w:webHidden/>
                <w:lang w:val="en-GB"/>
              </w:rPr>
              <w:t>15</w:t>
            </w:r>
            <w:r w:rsidR="006068DD" w:rsidRPr="000F53C8">
              <w:rPr>
                <w:webHidden/>
                <w:lang w:val="en-GB"/>
              </w:rPr>
              <w:fldChar w:fldCharType="end"/>
            </w:r>
          </w:hyperlink>
        </w:p>
        <w:p w14:paraId="02D09FA6" w14:textId="18C9A151" w:rsidR="006068DD" w:rsidRPr="000F53C8" w:rsidRDefault="001F715E">
          <w:pPr>
            <w:pStyle w:val="TOC4"/>
            <w:tabs>
              <w:tab w:val="left" w:pos="1100"/>
              <w:tab w:val="right" w:leader="dot" w:pos="9630"/>
            </w:tabs>
            <w:rPr>
              <w:rFonts w:eastAsiaTheme="minorEastAsia" w:cstheme="minorBidi"/>
              <w:szCs w:val="22"/>
              <w:lang w:val="en-GB"/>
            </w:rPr>
          </w:pPr>
          <w:hyperlink w:anchor="_Toc54022763" w:history="1">
            <w:r w:rsidR="006068DD" w:rsidRPr="000F53C8">
              <w:rPr>
                <w:rStyle w:val="Hyperlink"/>
                <w:lang w:val="en-GB"/>
              </w:rPr>
              <w:t>ix.</w:t>
            </w:r>
            <w:r w:rsidR="006068DD" w:rsidRPr="000F53C8">
              <w:rPr>
                <w:rFonts w:eastAsiaTheme="minorEastAsia" w:cstheme="minorBidi"/>
                <w:szCs w:val="22"/>
                <w:lang w:val="en-GB"/>
              </w:rPr>
              <w:tab/>
            </w:r>
            <w:r w:rsidR="006068DD" w:rsidRPr="000F53C8">
              <w:rPr>
                <w:rStyle w:val="Hyperlink"/>
                <w:lang w:val="en-GB"/>
              </w:rPr>
              <w:t>Awareness-raising in communities</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_Toc54022763 \h </w:instrText>
            </w:r>
            <w:r w:rsidR="006068DD" w:rsidRPr="000F53C8">
              <w:rPr>
                <w:webHidden/>
                <w:lang w:val="en-GB"/>
              </w:rPr>
            </w:r>
            <w:r w:rsidR="006068DD" w:rsidRPr="000F53C8">
              <w:rPr>
                <w:webHidden/>
                <w:lang w:val="en-GB"/>
              </w:rPr>
              <w:fldChar w:fldCharType="separate"/>
            </w:r>
            <w:r w:rsidR="006068DD" w:rsidRPr="000F53C8">
              <w:rPr>
                <w:webHidden/>
                <w:lang w:val="en-GB"/>
              </w:rPr>
              <w:t>15</w:t>
            </w:r>
            <w:r w:rsidR="006068DD" w:rsidRPr="000F53C8">
              <w:rPr>
                <w:webHidden/>
                <w:lang w:val="en-GB"/>
              </w:rPr>
              <w:fldChar w:fldCharType="end"/>
            </w:r>
          </w:hyperlink>
        </w:p>
        <w:p w14:paraId="188967CB" w14:textId="486CF025" w:rsidR="006068DD" w:rsidRPr="000F53C8" w:rsidRDefault="001F715E">
          <w:pPr>
            <w:pStyle w:val="TOC4"/>
            <w:tabs>
              <w:tab w:val="left" w:pos="1100"/>
              <w:tab w:val="right" w:leader="dot" w:pos="9630"/>
            </w:tabs>
            <w:rPr>
              <w:rFonts w:eastAsiaTheme="minorEastAsia" w:cstheme="minorBidi"/>
              <w:szCs w:val="22"/>
              <w:lang w:val="en-GB"/>
            </w:rPr>
          </w:pPr>
          <w:hyperlink w:anchor="_Toc54022764" w:history="1">
            <w:r w:rsidR="006068DD" w:rsidRPr="000F53C8">
              <w:rPr>
                <w:rStyle w:val="Hyperlink"/>
                <w:lang w:val="en-GB"/>
              </w:rPr>
              <w:t>x.</w:t>
            </w:r>
            <w:r w:rsidR="006068DD" w:rsidRPr="000F53C8">
              <w:rPr>
                <w:rFonts w:eastAsiaTheme="minorEastAsia" w:cstheme="minorBidi"/>
                <w:szCs w:val="22"/>
                <w:lang w:val="en-GB"/>
              </w:rPr>
              <w:tab/>
            </w:r>
            <w:r w:rsidR="006068DD" w:rsidRPr="000F53C8">
              <w:rPr>
                <w:rStyle w:val="Hyperlink"/>
                <w:lang w:val="en-GB"/>
              </w:rPr>
              <w:t>Improvement of drinking water supply</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_Toc54022764 \h </w:instrText>
            </w:r>
            <w:r w:rsidR="006068DD" w:rsidRPr="000F53C8">
              <w:rPr>
                <w:webHidden/>
                <w:lang w:val="en-GB"/>
              </w:rPr>
            </w:r>
            <w:r w:rsidR="006068DD" w:rsidRPr="000F53C8">
              <w:rPr>
                <w:webHidden/>
                <w:lang w:val="en-GB"/>
              </w:rPr>
              <w:fldChar w:fldCharType="separate"/>
            </w:r>
            <w:r w:rsidR="006068DD" w:rsidRPr="000F53C8">
              <w:rPr>
                <w:webHidden/>
                <w:lang w:val="en-GB"/>
              </w:rPr>
              <w:t>15</w:t>
            </w:r>
            <w:r w:rsidR="006068DD" w:rsidRPr="000F53C8">
              <w:rPr>
                <w:webHidden/>
                <w:lang w:val="en-GB"/>
              </w:rPr>
              <w:fldChar w:fldCharType="end"/>
            </w:r>
          </w:hyperlink>
        </w:p>
        <w:p w14:paraId="6A5F8AF9" w14:textId="04269FE2" w:rsidR="006068DD" w:rsidRPr="000F53C8" w:rsidRDefault="001F715E">
          <w:pPr>
            <w:pStyle w:val="TOC4"/>
            <w:tabs>
              <w:tab w:val="left" w:pos="1100"/>
              <w:tab w:val="right" w:leader="dot" w:pos="9630"/>
            </w:tabs>
            <w:rPr>
              <w:rFonts w:eastAsiaTheme="minorEastAsia" w:cstheme="minorBidi"/>
              <w:szCs w:val="22"/>
              <w:lang w:val="en-GB"/>
            </w:rPr>
          </w:pPr>
          <w:hyperlink w:anchor="_Toc54022765" w:history="1">
            <w:r w:rsidR="006068DD" w:rsidRPr="000F53C8">
              <w:rPr>
                <w:rStyle w:val="Hyperlink"/>
                <w:lang w:val="en-GB"/>
              </w:rPr>
              <w:t>xi.</w:t>
            </w:r>
            <w:r w:rsidR="006068DD" w:rsidRPr="000F53C8">
              <w:rPr>
                <w:rFonts w:eastAsiaTheme="minorEastAsia" w:cstheme="minorBidi"/>
                <w:szCs w:val="22"/>
                <w:lang w:val="en-GB"/>
              </w:rPr>
              <w:tab/>
            </w:r>
            <w:r w:rsidR="006068DD" w:rsidRPr="000F53C8">
              <w:rPr>
                <w:rStyle w:val="Hyperlink"/>
                <w:lang w:val="en-GB"/>
              </w:rPr>
              <w:t>Education in hydrogeology</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_Toc54022765 \h </w:instrText>
            </w:r>
            <w:r w:rsidR="006068DD" w:rsidRPr="000F53C8">
              <w:rPr>
                <w:webHidden/>
                <w:lang w:val="en-GB"/>
              </w:rPr>
            </w:r>
            <w:r w:rsidR="006068DD" w:rsidRPr="000F53C8">
              <w:rPr>
                <w:webHidden/>
                <w:lang w:val="en-GB"/>
              </w:rPr>
              <w:fldChar w:fldCharType="separate"/>
            </w:r>
            <w:r w:rsidR="006068DD" w:rsidRPr="000F53C8">
              <w:rPr>
                <w:webHidden/>
                <w:lang w:val="en-GB"/>
              </w:rPr>
              <w:t>15</w:t>
            </w:r>
            <w:r w:rsidR="006068DD" w:rsidRPr="000F53C8">
              <w:rPr>
                <w:webHidden/>
                <w:lang w:val="en-GB"/>
              </w:rPr>
              <w:fldChar w:fldCharType="end"/>
            </w:r>
          </w:hyperlink>
        </w:p>
        <w:p w14:paraId="6E635416" w14:textId="3510EFA8" w:rsidR="006068DD" w:rsidRPr="000F53C8" w:rsidRDefault="001F715E">
          <w:pPr>
            <w:pStyle w:val="TOC4"/>
            <w:tabs>
              <w:tab w:val="left" w:pos="1320"/>
              <w:tab w:val="right" w:leader="dot" w:pos="9630"/>
            </w:tabs>
            <w:rPr>
              <w:rFonts w:eastAsiaTheme="minorEastAsia" w:cstheme="minorBidi"/>
              <w:szCs w:val="22"/>
              <w:lang w:val="en-GB"/>
            </w:rPr>
          </w:pPr>
          <w:hyperlink w:anchor="_Toc54022766" w:history="1">
            <w:r w:rsidR="006068DD" w:rsidRPr="000F53C8">
              <w:rPr>
                <w:rStyle w:val="Hyperlink"/>
                <w:lang w:val="en-GB"/>
              </w:rPr>
              <w:t>xii.</w:t>
            </w:r>
            <w:r w:rsidR="006068DD" w:rsidRPr="000F53C8">
              <w:rPr>
                <w:rFonts w:eastAsiaTheme="minorEastAsia" w:cstheme="minorBidi"/>
                <w:szCs w:val="22"/>
                <w:lang w:val="en-GB"/>
              </w:rPr>
              <w:tab/>
            </w:r>
            <w:r w:rsidR="006068DD" w:rsidRPr="000F53C8">
              <w:rPr>
                <w:rStyle w:val="Hyperlink"/>
                <w:lang w:val="en-GB"/>
              </w:rPr>
              <w:t>Professional training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_Toc54022766 \h </w:instrText>
            </w:r>
            <w:r w:rsidR="006068DD" w:rsidRPr="000F53C8">
              <w:rPr>
                <w:webHidden/>
                <w:lang w:val="en-GB"/>
              </w:rPr>
            </w:r>
            <w:r w:rsidR="006068DD" w:rsidRPr="000F53C8">
              <w:rPr>
                <w:webHidden/>
                <w:lang w:val="en-GB"/>
              </w:rPr>
              <w:fldChar w:fldCharType="separate"/>
            </w:r>
            <w:r w:rsidR="006068DD" w:rsidRPr="000F53C8">
              <w:rPr>
                <w:webHidden/>
                <w:lang w:val="en-GB"/>
              </w:rPr>
              <w:t>15</w:t>
            </w:r>
            <w:r w:rsidR="006068DD" w:rsidRPr="000F53C8">
              <w:rPr>
                <w:webHidden/>
                <w:lang w:val="en-GB"/>
              </w:rPr>
              <w:fldChar w:fldCharType="end"/>
            </w:r>
          </w:hyperlink>
        </w:p>
        <w:p w14:paraId="739DC3D4" w14:textId="08388410" w:rsidR="006068DD" w:rsidRPr="000F53C8" w:rsidRDefault="001F715E">
          <w:pPr>
            <w:pStyle w:val="TOC4"/>
            <w:tabs>
              <w:tab w:val="left" w:pos="1320"/>
              <w:tab w:val="right" w:leader="dot" w:pos="9630"/>
            </w:tabs>
            <w:rPr>
              <w:rFonts w:eastAsiaTheme="minorEastAsia" w:cstheme="minorBidi"/>
              <w:szCs w:val="22"/>
              <w:lang w:val="en-GB"/>
            </w:rPr>
          </w:pPr>
          <w:hyperlink w:anchor="_Toc54022767" w:history="1">
            <w:r w:rsidR="006068DD" w:rsidRPr="000F53C8">
              <w:rPr>
                <w:rStyle w:val="Hyperlink"/>
                <w:lang w:val="en-GB"/>
              </w:rPr>
              <w:t>xiii.</w:t>
            </w:r>
            <w:r w:rsidR="006068DD" w:rsidRPr="000F53C8">
              <w:rPr>
                <w:rFonts w:eastAsiaTheme="minorEastAsia" w:cstheme="minorBidi"/>
                <w:szCs w:val="22"/>
                <w:lang w:val="en-GB"/>
              </w:rPr>
              <w:tab/>
            </w:r>
            <w:r w:rsidR="006068DD" w:rsidRPr="000F53C8">
              <w:rPr>
                <w:rStyle w:val="Hyperlink"/>
                <w:lang w:val="en-GB"/>
              </w:rPr>
              <w:t>Sustainable financing</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_Toc54022767 \h </w:instrText>
            </w:r>
            <w:r w:rsidR="006068DD" w:rsidRPr="000F53C8">
              <w:rPr>
                <w:webHidden/>
                <w:lang w:val="en-GB"/>
              </w:rPr>
            </w:r>
            <w:r w:rsidR="006068DD" w:rsidRPr="000F53C8">
              <w:rPr>
                <w:webHidden/>
                <w:lang w:val="en-GB"/>
              </w:rPr>
              <w:fldChar w:fldCharType="separate"/>
            </w:r>
            <w:r w:rsidR="006068DD" w:rsidRPr="000F53C8">
              <w:rPr>
                <w:webHidden/>
                <w:lang w:val="en-GB"/>
              </w:rPr>
              <w:t>16</w:t>
            </w:r>
            <w:r w:rsidR="006068DD" w:rsidRPr="000F53C8">
              <w:rPr>
                <w:webHidden/>
                <w:lang w:val="en-GB"/>
              </w:rPr>
              <w:fldChar w:fldCharType="end"/>
            </w:r>
          </w:hyperlink>
        </w:p>
        <w:p w14:paraId="066E9554" w14:textId="451AE9D4" w:rsidR="006068DD" w:rsidRPr="000F53C8" w:rsidRDefault="001F715E">
          <w:pPr>
            <w:pStyle w:val="TOC2"/>
            <w:tabs>
              <w:tab w:val="left" w:pos="660"/>
              <w:tab w:val="right" w:leader="dot" w:pos="9630"/>
            </w:tabs>
            <w:rPr>
              <w:rFonts w:eastAsiaTheme="minorEastAsia" w:cstheme="minorBidi"/>
              <w:szCs w:val="22"/>
              <w:lang w:val="en-GB"/>
            </w:rPr>
          </w:pPr>
          <w:hyperlink w:anchor="_Toc54022768" w:history="1">
            <w:r w:rsidR="006068DD" w:rsidRPr="000F53C8">
              <w:rPr>
                <w:rStyle w:val="Hyperlink"/>
                <w:lang w:val="en-GB"/>
              </w:rPr>
              <w:t>4</w:t>
            </w:r>
            <w:r w:rsidR="006068DD" w:rsidRPr="000F53C8">
              <w:rPr>
                <w:rFonts w:eastAsiaTheme="minorEastAsia" w:cstheme="minorBidi"/>
                <w:szCs w:val="22"/>
                <w:lang w:val="en-GB"/>
              </w:rPr>
              <w:tab/>
            </w:r>
            <w:r w:rsidR="006068DD" w:rsidRPr="000F53C8">
              <w:rPr>
                <w:rStyle w:val="Hyperlink"/>
                <w:lang w:val="en-GB"/>
              </w:rPr>
              <w:t>Conclusion</w:t>
            </w:r>
            <w:r w:rsidR="006068DD" w:rsidRPr="000F53C8">
              <w:rPr>
                <w:webHidden/>
                <w:lang w:val="en-GB"/>
              </w:rPr>
              <w:tab/>
            </w:r>
            <w:r w:rsidR="006068DD" w:rsidRPr="000F53C8">
              <w:rPr>
                <w:webHidden/>
                <w:lang w:val="en-GB"/>
              </w:rPr>
              <w:fldChar w:fldCharType="begin"/>
            </w:r>
            <w:r w:rsidR="006068DD" w:rsidRPr="000F53C8">
              <w:rPr>
                <w:webHidden/>
                <w:lang w:val="en-GB"/>
              </w:rPr>
              <w:instrText xml:space="preserve"> PAGEREF _Toc54022768 \h </w:instrText>
            </w:r>
            <w:r w:rsidR="006068DD" w:rsidRPr="000F53C8">
              <w:rPr>
                <w:webHidden/>
                <w:lang w:val="en-GB"/>
              </w:rPr>
            </w:r>
            <w:r w:rsidR="006068DD" w:rsidRPr="000F53C8">
              <w:rPr>
                <w:webHidden/>
                <w:lang w:val="en-GB"/>
              </w:rPr>
              <w:fldChar w:fldCharType="separate"/>
            </w:r>
            <w:r w:rsidR="006068DD" w:rsidRPr="000F53C8">
              <w:rPr>
                <w:webHidden/>
                <w:lang w:val="en-GB"/>
              </w:rPr>
              <w:t>18</w:t>
            </w:r>
            <w:r w:rsidR="006068DD" w:rsidRPr="000F53C8">
              <w:rPr>
                <w:webHidden/>
                <w:lang w:val="en-GB"/>
              </w:rPr>
              <w:fldChar w:fldCharType="end"/>
            </w:r>
          </w:hyperlink>
        </w:p>
        <w:p w14:paraId="3E8743F5" w14:textId="5B636DFD" w:rsidR="000246BB" w:rsidRPr="000F53C8" w:rsidRDefault="00CD5A06" w:rsidP="000E585E">
          <w:pPr>
            <w:pStyle w:val="TOC2"/>
            <w:tabs>
              <w:tab w:val="left" w:pos="660"/>
              <w:tab w:val="right" w:leader="dot" w:pos="9630"/>
            </w:tabs>
            <w:rPr>
              <w:lang w:val="en-GB"/>
            </w:rPr>
          </w:pPr>
          <w:r w:rsidRPr="000F53C8">
            <w:rPr>
              <w:lang w:val="en-GB"/>
            </w:rPr>
            <w:fldChar w:fldCharType="end"/>
          </w:r>
        </w:p>
      </w:sdtContent>
    </w:sdt>
    <w:p w14:paraId="5D4811CE" w14:textId="77777777" w:rsidR="001C1DB5" w:rsidRPr="000F53C8" w:rsidRDefault="001C1DB5" w:rsidP="000126B6">
      <w:pPr>
        <w:rPr>
          <w:lang w:val="en-GB"/>
        </w:rPr>
        <w:sectPr w:rsidR="001C1DB5" w:rsidRPr="000F53C8" w:rsidSect="00831F13">
          <w:headerReference w:type="default" r:id="rId23"/>
          <w:footerReference w:type="default" r:id="rId24"/>
          <w:type w:val="continuous"/>
          <w:pgSz w:w="11900" w:h="16840"/>
          <w:pgMar w:top="1417" w:right="843" w:bottom="1417" w:left="1417" w:header="708" w:footer="165" w:gutter="0"/>
          <w:cols w:space="708"/>
          <w:docGrid w:linePitch="299"/>
        </w:sectPr>
      </w:pPr>
    </w:p>
    <w:p w14:paraId="7BFA8413" w14:textId="194508B4" w:rsidR="00AC0125" w:rsidRPr="000F53C8" w:rsidRDefault="00190EA0" w:rsidP="00AC0125">
      <w:pPr>
        <w:pStyle w:val="Heading2"/>
        <w:rPr>
          <w:lang w:val="en-GB"/>
        </w:rPr>
      </w:pPr>
      <w:bookmarkStart w:id="0" w:name="_Toc54022735"/>
      <w:r w:rsidRPr="000F53C8">
        <w:rPr>
          <w:lang w:val="en-GB"/>
        </w:rPr>
        <w:lastRenderedPageBreak/>
        <w:t>I</w:t>
      </w:r>
      <w:r w:rsidR="00953AAE" w:rsidRPr="000F53C8">
        <w:rPr>
          <w:lang w:val="en-GB"/>
        </w:rPr>
        <w:t>ntroduction</w:t>
      </w:r>
      <w:bookmarkEnd w:id="0"/>
    </w:p>
    <w:p w14:paraId="1BDF91F4" w14:textId="4DFB1EB0" w:rsidR="000C649E" w:rsidRPr="000F53C8" w:rsidRDefault="000C649E" w:rsidP="000C649E">
      <w:pPr>
        <w:rPr>
          <w:lang w:val="en-GB"/>
        </w:rPr>
      </w:pPr>
      <w:r w:rsidRPr="000F53C8">
        <w:rPr>
          <w:lang w:val="en-GB"/>
        </w:rPr>
        <w:t xml:space="preserve">This report provides an overview of the state of groundwater management in the four riparian states, with a focus on the collection and the management of groundwater data. Much of the information presented here was collected during consultations with professionals engaged in groundwater management, development or protection in the countries. In total, 29 professionals were engaged, as summarized in </w:t>
      </w:r>
      <w:r w:rsidRPr="000F53C8">
        <w:rPr>
          <w:lang w:val="en-GB"/>
        </w:rPr>
        <w:fldChar w:fldCharType="begin"/>
      </w:r>
      <w:r w:rsidRPr="000F53C8">
        <w:rPr>
          <w:lang w:val="en-GB"/>
        </w:rPr>
        <w:instrText xml:space="preserve"> REF _Ref50637889 \h </w:instrText>
      </w:r>
      <w:r w:rsidRPr="000F53C8">
        <w:rPr>
          <w:lang w:val="en-GB"/>
        </w:rPr>
      </w:r>
      <w:r w:rsidRPr="000F53C8">
        <w:rPr>
          <w:lang w:val="en-GB"/>
        </w:rPr>
        <w:fldChar w:fldCharType="separate"/>
      </w:r>
      <w:r w:rsidRPr="000F53C8">
        <w:rPr>
          <w:lang w:val="en-GB"/>
        </w:rPr>
        <w:t>Table 1</w:t>
      </w:r>
      <w:r w:rsidRPr="000F53C8">
        <w:rPr>
          <w:lang w:val="en-GB"/>
        </w:rPr>
        <w:fldChar w:fldCharType="end"/>
      </w:r>
      <w:r w:rsidRPr="000F53C8">
        <w:rPr>
          <w:lang w:val="en-GB"/>
        </w:rPr>
        <w:t xml:space="preserve">. Intermediary reports of the consultations were made for each country, which are given in annex. The outlines of groundwater management in each country are given in section </w:t>
      </w:r>
      <w:r w:rsidRPr="000F53C8">
        <w:rPr>
          <w:lang w:val="en-GB"/>
        </w:rPr>
        <w:fldChar w:fldCharType="begin"/>
      </w:r>
      <w:r w:rsidRPr="000F53C8">
        <w:rPr>
          <w:lang w:val="en-GB"/>
        </w:rPr>
        <w:instrText xml:space="preserve"> REF _Ref51168570 \r \h </w:instrText>
      </w:r>
      <w:r w:rsidRPr="000F53C8">
        <w:rPr>
          <w:lang w:val="en-GB"/>
        </w:rPr>
      </w:r>
      <w:r w:rsidRPr="000F53C8">
        <w:rPr>
          <w:lang w:val="en-GB"/>
        </w:rPr>
        <w:fldChar w:fldCharType="separate"/>
      </w:r>
      <w:r w:rsidRPr="000F53C8">
        <w:rPr>
          <w:lang w:val="en-GB"/>
        </w:rPr>
        <w:t>2</w:t>
      </w:r>
      <w:r w:rsidRPr="000F53C8">
        <w:rPr>
          <w:lang w:val="en-GB"/>
        </w:rPr>
        <w:fldChar w:fldCharType="end"/>
      </w:r>
      <w:r w:rsidRPr="000F53C8">
        <w:rPr>
          <w:lang w:val="en-GB"/>
        </w:rPr>
        <w:t xml:space="preserve">. In section </w:t>
      </w:r>
      <w:r w:rsidRPr="000F53C8">
        <w:rPr>
          <w:lang w:val="en-GB"/>
        </w:rPr>
        <w:fldChar w:fldCharType="begin"/>
      </w:r>
      <w:r w:rsidRPr="000F53C8">
        <w:rPr>
          <w:lang w:val="en-GB"/>
        </w:rPr>
        <w:instrText xml:space="preserve"> REF _Ref51142799 \r \h </w:instrText>
      </w:r>
      <w:r w:rsidRPr="000F53C8">
        <w:rPr>
          <w:lang w:val="en-GB"/>
        </w:rPr>
      </w:r>
      <w:r w:rsidRPr="000F53C8">
        <w:rPr>
          <w:lang w:val="en-GB"/>
        </w:rPr>
        <w:fldChar w:fldCharType="separate"/>
      </w:r>
      <w:r w:rsidRPr="000F53C8">
        <w:rPr>
          <w:lang w:val="en-GB"/>
        </w:rPr>
        <w:t>3</w:t>
      </w:r>
      <w:r w:rsidRPr="000F53C8">
        <w:rPr>
          <w:lang w:val="en-GB"/>
        </w:rPr>
        <w:fldChar w:fldCharType="end"/>
      </w:r>
      <w:r w:rsidRPr="000F53C8">
        <w:rPr>
          <w:lang w:val="en-GB"/>
        </w:rPr>
        <w:t xml:space="preserve">, a summary of management issues is presented, with recommendations for capacity-building activities at the regional scale, to be further discussed by the Regional Working Group. </w:t>
      </w:r>
    </w:p>
    <w:p w14:paraId="553DA27D" w14:textId="77777777" w:rsidR="000C649E" w:rsidRPr="000F53C8" w:rsidRDefault="000C649E" w:rsidP="000C649E">
      <w:pPr>
        <w:rPr>
          <w:lang w:val="en-GB"/>
        </w:rPr>
      </w:pPr>
    </w:p>
    <w:p w14:paraId="1698164F" w14:textId="04FE9A09" w:rsidR="000C649E" w:rsidRPr="000F53C8" w:rsidRDefault="000C649E" w:rsidP="006B609F">
      <w:pPr>
        <w:keepNext/>
        <w:spacing w:before="0" w:after="200"/>
        <w:ind w:left="-284"/>
        <w:rPr>
          <w:rFonts w:ascii="Calibri" w:eastAsia="Calibri" w:hAnsi="Calibri"/>
          <w:i/>
          <w:iCs/>
          <w:color w:val="1F497D"/>
          <w:sz w:val="18"/>
          <w:szCs w:val="18"/>
          <w:lang w:val="en-GB" w:eastAsia="en-US"/>
        </w:rPr>
      </w:pPr>
      <w:bookmarkStart w:id="1" w:name="_Ref50637889"/>
      <w:r w:rsidRPr="000F53C8">
        <w:rPr>
          <w:rFonts w:ascii="Calibri" w:eastAsia="Calibri" w:hAnsi="Calibri"/>
          <w:i/>
          <w:iCs/>
          <w:color w:val="1F497D"/>
          <w:sz w:val="18"/>
          <w:szCs w:val="18"/>
          <w:lang w:val="en-GB" w:eastAsia="en-US"/>
        </w:rPr>
        <w:t xml:space="preserve">Table </w:t>
      </w:r>
      <w:r w:rsidRPr="000F53C8">
        <w:rPr>
          <w:rFonts w:ascii="Calibri" w:eastAsia="Calibri" w:hAnsi="Calibri"/>
          <w:i/>
          <w:iCs/>
          <w:color w:val="1F497D"/>
          <w:sz w:val="18"/>
          <w:szCs w:val="18"/>
          <w:lang w:val="en-GB" w:eastAsia="en-US"/>
        </w:rPr>
        <w:fldChar w:fldCharType="begin"/>
      </w:r>
      <w:r w:rsidRPr="000F53C8">
        <w:rPr>
          <w:rFonts w:ascii="Calibri" w:eastAsia="Calibri" w:hAnsi="Calibri"/>
          <w:i/>
          <w:iCs/>
          <w:color w:val="1F497D"/>
          <w:sz w:val="18"/>
          <w:szCs w:val="18"/>
          <w:lang w:val="en-GB" w:eastAsia="en-US"/>
        </w:rPr>
        <w:instrText xml:space="preserve"> STYLEREF 1 \s </w:instrText>
      </w:r>
      <w:r w:rsidRPr="000F53C8">
        <w:rPr>
          <w:rFonts w:ascii="Calibri" w:eastAsia="Calibri" w:hAnsi="Calibri"/>
          <w:i/>
          <w:iCs/>
          <w:color w:val="1F497D"/>
          <w:sz w:val="18"/>
          <w:szCs w:val="18"/>
          <w:lang w:val="en-GB" w:eastAsia="en-US"/>
        </w:rPr>
        <w:fldChar w:fldCharType="separate"/>
      </w:r>
      <w:r w:rsidRPr="000F53C8">
        <w:rPr>
          <w:rFonts w:ascii="Calibri" w:eastAsia="Calibri" w:hAnsi="Calibri"/>
          <w:i/>
          <w:iCs/>
          <w:color w:val="1F497D"/>
          <w:sz w:val="18"/>
          <w:szCs w:val="18"/>
          <w:lang w:val="en-GB" w:eastAsia="en-US"/>
        </w:rPr>
        <w:t>1</w:t>
      </w:r>
      <w:r w:rsidRPr="000F53C8">
        <w:rPr>
          <w:rFonts w:ascii="Calibri" w:eastAsia="Calibri" w:hAnsi="Calibri"/>
          <w:i/>
          <w:iCs/>
          <w:color w:val="1F497D"/>
          <w:sz w:val="18"/>
          <w:szCs w:val="18"/>
          <w:lang w:val="en-GB" w:eastAsia="en-US"/>
        </w:rPr>
        <w:fldChar w:fldCharType="end"/>
      </w:r>
      <w:bookmarkEnd w:id="1"/>
      <w:r w:rsidRPr="000F53C8">
        <w:rPr>
          <w:rFonts w:ascii="Calibri" w:eastAsia="Calibri" w:hAnsi="Calibri"/>
          <w:i/>
          <w:iCs/>
          <w:color w:val="1F497D"/>
          <w:sz w:val="18"/>
          <w:szCs w:val="18"/>
          <w:lang w:val="en-GB" w:eastAsia="en-US"/>
        </w:rPr>
        <w:t xml:space="preserve"> Numbers of professionals consulted.</w:t>
      </w:r>
    </w:p>
    <w:tbl>
      <w:tblPr>
        <w:tblStyle w:val="TableGrid11"/>
        <w:tblW w:w="5000" w:type="pct"/>
        <w:tblInd w:w="-289" w:type="dxa"/>
        <w:tblLook w:val="07E0" w:firstRow="1" w:lastRow="1" w:firstColumn="1" w:lastColumn="1" w:noHBand="1" w:noVBand="1"/>
      </w:tblPr>
      <w:tblGrid>
        <w:gridCol w:w="2251"/>
        <w:gridCol w:w="1476"/>
        <w:gridCol w:w="1476"/>
        <w:gridCol w:w="1475"/>
        <w:gridCol w:w="1475"/>
        <w:gridCol w:w="1477"/>
      </w:tblGrid>
      <w:tr w:rsidR="000C649E" w:rsidRPr="000F53C8" w14:paraId="7142CECE" w14:textId="77777777" w:rsidTr="00733ADF">
        <w:trPr>
          <w:cantSplit/>
          <w:trHeight w:val="283"/>
        </w:trPr>
        <w:tc>
          <w:tcPr>
            <w:tcW w:w="1168" w:type="pct"/>
            <w:shd w:val="clear" w:color="auto" w:fill="DEEAF6" w:themeFill="accent1" w:themeFillTint="33"/>
            <w:vAlign w:val="center"/>
          </w:tcPr>
          <w:p w14:paraId="639C9CA1" w14:textId="77777777" w:rsidR="000C649E" w:rsidRPr="000F53C8" w:rsidRDefault="000C649E" w:rsidP="000C649E">
            <w:pPr>
              <w:spacing w:before="0" w:after="0"/>
              <w:ind w:left="0"/>
              <w:jc w:val="left"/>
              <w:rPr>
                <w:rFonts w:ascii="Calibri" w:hAnsi="Calibri" w:cs="Calibri"/>
                <w:b/>
                <w:bCs/>
                <w:szCs w:val="22"/>
                <w:lang w:eastAsia="en-GB"/>
              </w:rPr>
            </w:pPr>
            <w:r w:rsidRPr="000F53C8">
              <w:rPr>
                <w:rFonts w:ascii="Calibri" w:hAnsi="Calibri" w:cs="Calibri"/>
                <w:b/>
                <w:bCs/>
                <w:szCs w:val="22"/>
                <w:lang w:eastAsia="en-GB"/>
              </w:rPr>
              <w:t>Organisation type</w:t>
            </w:r>
          </w:p>
        </w:tc>
        <w:tc>
          <w:tcPr>
            <w:tcW w:w="766" w:type="pct"/>
            <w:shd w:val="clear" w:color="auto" w:fill="DEEAF6" w:themeFill="accent1" w:themeFillTint="33"/>
            <w:vAlign w:val="center"/>
          </w:tcPr>
          <w:p w14:paraId="0A31B4B8" w14:textId="77777777" w:rsidR="000C649E" w:rsidRPr="000F53C8" w:rsidRDefault="000C649E" w:rsidP="000C649E">
            <w:pPr>
              <w:spacing w:before="0" w:after="0"/>
              <w:ind w:left="0"/>
              <w:jc w:val="center"/>
              <w:rPr>
                <w:rFonts w:ascii="Calibri" w:hAnsi="Calibri" w:cs="Calibri"/>
                <w:b/>
                <w:bCs/>
                <w:szCs w:val="22"/>
                <w:lang w:eastAsia="en-GB"/>
              </w:rPr>
            </w:pPr>
            <w:r w:rsidRPr="000F53C8">
              <w:rPr>
                <w:rFonts w:ascii="Calibri" w:hAnsi="Calibri" w:cs="Calibri"/>
                <w:b/>
                <w:bCs/>
                <w:szCs w:val="22"/>
                <w:lang w:eastAsia="en-GB"/>
              </w:rPr>
              <w:t>Gambia</w:t>
            </w:r>
          </w:p>
        </w:tc>
        <w:tc>
          <w:tcPr>
            <w:tcW w:w="766" w:type="pct"/>
            <w:shd w:val="clear" w:color="auto" w:fill="DEEAF6" w:themeFill="accent1" w:themeFillTint="33"/>
            <w:vAlign w:val="center"/>
          </w:tcPr>
          <w:p w14:paraId="2FEE9D5C" w14:textId="77777777" w:rsidR="000C649E" w:rsidRPr="000F53C8" w:rsidRDefault="000C649E" w:rsidP="000C649E">
            <w:pPr>
              <w:spacing w:before="0" w:after="0"/>
              <w:ind w:left="0"/>
              <w:jc w:val="center"/>
              <w:rPr>
                <w:rFonts w:ascii="Calibri" w:hAnsi="Calibri" w:cs="Calibri"/>
                <w:b/>
                <w:bCs/>
                <w:szCs w:val="22"/>
                <w:lang w:eastAsia="en-GB"/>
              </w:rPr>
            </w:pPr>
            <w:r w:rsidRPr="000F53C8">
              <w:rPr>
                <w:rFonts w:ascii="Calibri" w:hAnsi="Calibri" w:cs="Calibri"/>
                <w:b/>
                <w:bCs/>
                <w:szCs w:val="22"/>
                <w:lang w:eastAsia="en-GB"/>
              </w:rPr>
              <w:t>Guinea-Bissau</w:t>
            </w:r>
          </w:p>
        </w:tc>
        <w:tc>
          <w:tcPr>
            <w:tcW w:w="766" w:type="pct"/>
            <w:shd w:val="clear" w:color="auto" w:fill="DEEAF6" w:themeFill="accent1" w:themeFillTint="33"/>
            <w:vAlign w:val="center"/>
          </w:tcPr>
          <w:p w14:paraId="701793D5" w14:textId="77777777" w:rsidR="000C649E" w:rsidRPr="000F53C8" w:rsidRDefault="000C649E" w:rsidP="000C649E">
            <w:pPr>
              <w:spacing w:before="0" w:after="0"/>
              <w:ind w:left="0"/>
              <w:jc w:val="center"/>
              <w:rPr>
                <w:rFonts w:ascii="Calibri" w:hAnsi="Calibri" w:cs="Calibri"/>
                <w:b/>
                <w:bCs/>
                <w:szCs w:val="22"/>
                <w:lang w:eastAsia="en-GB"/>
              </w:rPr>
            </w:pPr>
            <w:r w:rsidRPr="000F53C8">
              <w:rPr>
                <w:rFonts w:ascii="Calibri" w:hAnsi="Calibri" w:cs="Calibri"/>
                <w:b/>
                <w:bCs/>
                <w:szCs w:val="22"/>
                <w:lang w:eastAsia="en-GB"/>
              </w:rPr>
              <w:t>Mauritania</w:t>
            </w:r>
          </w:p>
        </w:tc>
        <w:tc>
          <w:tcPr>
            <w:tcW w:w="766" w:type="pct"/>
            <w:shd w:val="clear" w:color="auto" w:fill="DEEAF6" w:themeFill="accent1" w:themeFillTint="33"/>
            <w:vAlign w:val="center"/>
          </w:tcPr>
          <w:p w14:paraId="538F422C" w14:textId="77777777" w:rsidR="000C649E" w:rsidRPr="000F53C8" w:rsidRDefault="000C649E" w:rsidP="000C649E">
            <w:pPr>
              <w:spacing w:before="0" w:after="0"/>
              <w:ind w:left="0"/>
              <w:jc w:val="center"/>
              <w:rPr>
                <w:rFonts w:ascii="Calibri" w:hAnsi="Calibri" w:cs="Calibri"/>
                <w:b/>
                <w:bCs/>
                <w:szCs w:val="22"/>
                <w:lang w:eastAsia="en-GB"/>
              </w:rPr>
            </w:pPr>
            <w:r w:rsidRPr="000F53C8">
              <w:rPr>
                <w:rFonts w:ascii="Calibri" w:hAnsi="Calibri" w:cs="Calibri"/>
                <w:b/>
                <w:bCs/>
                <w:szCs w:val="22"/>
                <w:lang w:eastAsia="en-GB"/>
              </w:rPr>
              <w:t>Senegal</w:t>
            </w:r>
          </w:p>
        </w:tc>
        <w:tc>
          <w:tcPr>
            <w:tcW w:w="767" w:type="pct"/>
            <w:shd w:val="clear" w:color="auto" w:fill="DEEAF6" w:themeFill="accent1" w:themeFillTint="33"/>
            <w:vAlign w:val="center"/>
          </w:tcPr>
          <w:p w14:paraId="39EA6C20" w14:textId="77777777" w:rsidR="000C649E" w:rsidRPr="000F53C8" w:rsidRDefault="000C649E" w:rsidP="000C649E">
            <w:pPr>
              <w:spacing w:before="0" w:after="0"/>
              <w:ind w:left="0"/>
              <w:jc w:val="center"/>
              <w:rPr>
                <w:rFonts w:ascii="Calibri" w:hAnsi="Calibri" w:cs="Calibri"/>
                <w:b/>
                <w:bCs/>
                <w:szCs w:val="22"/>
                <w:lang w:eastAsia="en-GB"/>
              </w:rPr>
            </w:pPr>
            <w:r w:rsidRPr="000F53C8">
              <w:rPr>
                <w:rFonts w:ascii="Calibri" w:hAnsi="Calibri" w:cs="Calibri"/>
                <w:b/>
                <w:bCs/>
                <w:szCs w:val="22"/>
                <w:lang w:eastAsia="en-GB"/>
              </w:rPr>
              <w:t>Total</w:t>
            </w:r>
          </w:p>
        </w:tc>
      </w:tr>
      <w:tr w:rsidR="000C649E" w:rsidRPr="000F53C8" w14:paraId="5A60B268" w14:textId="77777777" w:rsidTr="00733ADF">
        <w:trPr>
          <w:trHeight w:val="283"/>
        </w:trPr>
        <w:tc>
          <w:tcPr>
            <w:tcW w:w="1168" w:type="pct"/>
            <w:shd w:val="clear" w:color="auto" w:fill="DEEAF6" w:themeFill="accent1" w:themeFillTint="33"/>
          </w:tcPr>
          <w:p w14:paraId="2B04A41B" w14:textId="77777777" w:rsidR="000C649E" w:rsidRPr="000F53C8" w:rsidRDefault="000C649E" w:rsidP="000C649E">
            <w:pPr>
              <w:spacing w:before="0" w:after="0"/>
              <w:ind w:left="0"/>
              <w:jc w:val="left"/>
              <w:rPr>
                <w:rFonts w:ascii="Calibri" w:hAnsi="Calibri" w:cs="Calibri"/>
                <w:szCs w:val="22"/>
                <w:lang w:eastAsia="en-GB"/>
              </w:rPr>
            </w:pPr>
            <w:r w:rsidRPr="000F53C8">
              <w:rPr>
                <w:rFonts w:ascii="Calibri" w:hAnsi="Calibri" w:cs="Calibri"/>
                <w:szCs w:val="22"/>
                <w:lang w:eastAsia="en-GB"/>
              </w:rPr>
              <w:t>Water department</w:t>
            </w:r>
          </w:p>
        </w:tc>
        <w:tc>
          <w:tcPr>
            <w:tcW w:w="766" w:type="pct"/>
            <w:vAlign w:val="center"/>
          </w:tcPr>
          <w:p w14:paraId="6C186F9B"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2</w:t>
            </w:r>
          </w:p>
        </w:tc>
        <w:tc>
          <w:tcPr>
            <w:tcW w:w="766" w:type="pct"/>
            <w:vAlign w:val="center"/>
          </w:tcPr>
          <w:p w14:paraId="007E784F"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5</w:t>
            </w:r>
          </w:p>
        </w:tc>
        <w:tc>
          <w:tcPr>
            <w:tcW w:w="766" w:type="pct"/>
            <w:vAlign w:val="center"/>
          </w:tcPr>
          <w:p w14:paraId="0EDA30DD"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2</w:t>
            </w:r>
          </w:p>
        </w:tc>
        <w:tc>
          <w:tcPr>
            <w:tcW w:w="766" w:type="pct"/>
            <w:vAlign w:val="center"/>
          </w:tcPr>
          <w:p w14:paraId="639150AC"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2</w:t>
            </w:r>
          </w:p>
        </w:tc>
        <w:tc>
          <w:tcPr>
            <w:tcW w:w="767" w:type="pct"/>
            <w:vAlign w:val="center"/>
          </w:tcPr>
          <w:p w14:paraId="58D0B947"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11</w:t>
            </w:r>
          </w:p>
        </w:tc>
      </w:tr>
      <w:tr w:rsidR="000C649E" w:rsidRPr="000F53C8" w14:paraId="7CCFCBEC" w14:textId="77777777" w:rsidTr="00733ADF">
        <w:trPr>
          <w:trHeight w:val="283"/>
        </w:trPr>
        <w:tc>
          <w:tcPr>
            <w:tcW w:w="1168" w:type="pct"/>
            <w:shd w:val="clear" w:color="auto" w:fill="DEEAF6" w:themeFill="accent1" w:themeFillTint="33"/>
          </w:tcPr>
          <w:p w14:paraId="4AA922E9" w14:textId="77777777" w:rsidR="000C649E" w:rsidRPr="000F53C8" w:rsidRDefault="000C649E" w:rsidP="000C649E">
            <w:pPr>
              <w:spacing w:before="0" w:after="0"/>
              <w:ind w:left="0"/>
              <w:jc w:val="left"/>
              <w:rPr>
                <w:rFonts w:ascii="Calibri" w:hAnsi="Calibri" w:cs="Calibri"/>
                <w:szCs w:val="22"/>
                <w:lang w:eastAsia="en-GB"/>
              </w:rPr>
            </w:pPr>
            <w:r w:rsidRPr="000F53C8">
              <w:rPr>
                <w:rFonts w:ascii="Calibri" w:hAnsi="Calibri" w:cs="Calibri"/>
                <w:szCs w:val="22"/>
                <w:lang w:eastAsia="en-GB"/>
              </w:rPr>
              <w:t>Other governmental*</w:t>
            </w:r>
          </w:p>
        </w:tc>
        <w:tc>
          <w:tcPr>
            <w:tcW w:w="766" w:type="pct"/>
            <w:vAlign w:val="center"/>
          </w:tcPr>
          <w:p w14:paraId="55AD2A65"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1</w:t>
            </w:r>
          </w:p>
        </w:tc>
        <w:tc>
          <w:tcPr>
            <w:tcW w:w="766" w:type="pct"/>
            <w:vAlign w:val="center"/>
          </w:tcPr>
          <w:p w14:paraId="6F405827"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1</w:t>
            </w:r>
          </w:p>
        </w:tc>
        <w:tc>
          <w:tcPr>
            <w:tcW w:w="766" w:type="pct"/>
            <w:vAlign w:val="center"/>
          </w:tcPr>
          <w:p w14:paraId="1282CCDA"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6" w:type="pct"/>
            <w:vAlign w:val="center"/>
          </w:tcPr>
          <w:p w14:paraId="3EF98443"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7" w:type="pct"/>
            <w:vAlign w:val="center"/>
          </w:tcPr>
          <w:p w14:paraId="0553D99B"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2</w:t>
            </w:r>
          </w:p>
        </w:tc>
      </w:tr>
      <w:tr w:rsidR="000C649E" w:rsidRPr="000F53C8" w14:paraId="0F0F9797" w14:textId="77777777" w:rsidTr="00733ADF">
        <w:trPr>
          <w:trHeight w:val="283"/>
        </w:trPr>
        <w:tc>
          <w:tcPr>
            <w:tcW w:w="1168" w:type="pct"/>
            <w:shd w:val="clear" w:color="auto" w:fill="DEEAF6" w:themeFill="accent1" w:themeFillTint="33"/>
          </w:tcPr>
          <w:p w14:paraId="4ACF1AEA" w14:textId="77777777" w:rsidR="000C649E" w:rsidRPr="000F53C8" w:rsidRDefault="000C649E" w:rsidP="000C649E">
            <w:pPr>
              <w:spacing w:before="0" w:after="0"/>
              <w:ind w:left="0"/>
              <w:jc w:val="left"/>
              <w:rPr>
                <w:rFonts w:ascii="Calibri" w:hAnsi="Calibri" w:cs="Calibri"/>
                <w:szCs w:val="22"/>
                <w:lang w:eastAsia="en-GB"/>
              </w:rPr>
            </w:pPr>
            <w:r w:rsidRPr="000F53C8">
              <w:rPr>
                <w:rFonts w:ascii="Calibri" w:hAnsi="Calibri" w:cs="Calibri"/>
                <w:szCs w:val="22"/>
                <w:lang w:eastAsia="en-GB"/>
              </w:rPr>
              <w:t>Water utility company</w:t>
            </w:r>
          </w:p>
        </w:tc>
        <w:tc>
          <w:tcPr>
            <w:tcW w:w="766" w:type="pct"/>
            <w:vAlign w:val="center"/>
          </w:tcPr>
          <w:p w14:paraId="0648585B"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6" w:type="pct"/>
            <w:vAlign w:val="center"/>
          </w:tcPr>
          <w:p w14:paraId="20724A44"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1</w:t>
            </w:r>
          </w:p>
        </w:tc>
        <w:tc>
          <w:tcPr>
            <w:tcW w:w="766" w:type="pct"/>
            <w:vAlign w:val="center"/>
          </w:tcPr>
          <w:p w14:paraId="5B97D6D0"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6" w:type="pct"/>
            <w:vAlign w:val="center"/>
          </w:tcPr>
          <w:p w14:paraId="6B18C7AC"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2</w:t>
            </w:r>
          </w:p>
        </w:tc>
        <w:tc>
          <w:tcPr>
            <w:tcW w:w="767" w:type="pct"/>
            <w:vAlign w:val="center"/>
          </w:tcPr>
          <w:p w14:paraId="30B0F0B8"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3</w:t>
            </w:r>
          </w:p>
        </w:tc>
      </w:tr>
      <w:tr w:rsidR="000C649E" w:rsidRPr="000F53C8" w14:paraId="55E81A10" w14:textId="77777777" w:rsidTr="00733ADF">
        <w:trPr>
          <w:trHeight w:val="283"/>
        </w:trPr>
        <w:tc>
          <w:tcPr>
            <w:tcW w:w="1168" w:type="pct"/>
            <w:shd w:val="clear" w:color="auto" w:fill="DEEAF6" w:themeFill="accent1" w:themeFillTint="33"/>
          </w:tcPr>
          <w:p w14:paraId="6437400A" w14:textId="77777777" w:rsidR="000C649E" w:rsidRPr="000F53C8" w:rsidRDefault="000C649E" w:rsidP="000C649E">
            <w:pPr>
              <w:spacing w:before="0" w:after="0"/>
              <w:ind w:left="0"/>
              <w:jc w:val="left"/>
              <w:rPr>
                <w:rFonts w:ascii="Calibri" w:hAnsi="Calibri" w:cs="Calibri"/>
                <w:szCs w:val="22"/>
                <w:lang w:eastAsia="en-GB"/>
              </w:rPr>
            </w:pPr>
            <w:r w:rsidRPr="000F53C8">
              <w:rPr>
                <w:rFonts w:ascii="Calibri" w:hAnsi="Calibri" w:cs="Calibri"/>
                <w:szCs w:val="22"/>
                <w:lang w:eastAsia="en-GB"/>
              </w:rPr>
              <w:t>University</w:t>
            </w:r>
          </w:p>
        </w:tc>
        <w:tc>
          <w:tcPr>
            <w:tcW w:w="766" w:type="pct"/>
            <w:vAlign w:val="center"/>
          </w:tcPr>
          <w:p w14:paraId="36A0A4B6"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6" w:type="pct"/>
            <w:vAlign w:val="center"/>
          </w:tcPr>
          <w:p w14:paraId="4BDBB53B"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6" w:type="pct"/>
            <w:vAlign w:val="center"/>
          </w:tcPr>
          <w:p w14:paraId="46C46D7A"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6" w:type="pct"/>
            <w:vAlign w:val="center"/>
          </w:tcPr>
          <w:p w14:paraId="78A8C160"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1</w:t>
            </w:r>
          </w:p>
        </w:tc>
        <w:tc>
          <w:tcPr>
            <w:tcW w:w="767" w:type="pct"/>
            <w:vAlign w:val="center"/>
          </w:tcPr>
          <w:p w14:paraId="7D0F7AD4"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1</w:t>
            </w:r>
          </w:p>
        </w:tc>
      </w:tr>
      <w:tr w:rsidR="000C649E" w:rsidRPr="000F53C8" w14:paraId="3BD9186F" w14:textId="77777777" w:rsidTr="00733ADF">
        <w:trPr>
          <w:trHeight w:val="283"/>
        </w:trPr>
        <w:tc>
          <w:tcPr>
            <w:tcW w:w="1168" w:type="pct"/>
            <w:shd w:val="clear" w:color="auto" w:fill="DEEAF6" w:themeFill="accent1" w:themeFillTint="33"/>
          </w:tcPr>
          <w:p w14:paraId="443CCC2D" w14:textId="77777777" w:rsidR="000C649E" w:rsidRPr="000F53C8" w:rsidRDefault="000C649E" w:rsidP="000C649E">
            <w:pPr>
              <w:spacing w:before="0" w:after="0"/>
              <w:ind w:left="0"/>
              <w:jc w:val="left"/>
              <w:rPr>
                <w:rFonts w:ascii="Calibri" w:hAnsi="Calibri" w:cs="Calibri"/>
                <w:szCs w:val="22"/>
                <w:lang w:eastAsia="en-GB"/>
              </w:rPr>
            </w:pPr>
            <w:r w:rsidRPr="000F53C8">
              <w:rPr>
                <w:rFonts w:ascii="Calibri" w:hAnsi="Calibri" w:cs="Calibri"/>
                <w:szCs w:val="22"/>
                <w:lang w:eastAsia="en-GB"/>
              </w:rPr>
              <w:t>Consultants, drillers</w:t>
            </w:r>
          </w:p>
        </w:tc>
        <w:tc>
          <w:tcPr>
            <w:tcW w:w="766" w:type="pct"/>
            <w:vAlign w:val="center"/>
          </w:tcPr>
          <w:p w14:paraId="6B71B78E"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1</w:t>
            </w:r>
          </w:p>
        </w:tc>
        <w:tc>
          <w:tcPr>
            <w:tcW w:w="766" w:type="pct"/>
            <w:vAlign w:val="center"/>
          </w:tcPr>
          <w:p w14:paraId="049BC14B"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6" w:type="pct"/>
            <w:vAlign w:val="center"/>
          </w:tcPr>
          <w:p w14:paraId="665313B7"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1</w:t>
            </w:r>
          </w:p>
        </w:tc>
        <w:tc>
          <w:tcPr>
            <w:tcW w:w="766" w:type="pct"/>
            <w:vAlign w:val="center"/>
          </w:tcPr>
          <w:p w14:paraId="1C283989"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2</w:t>
            </w:r>
          </w:p>
        </w:tc>
        <w:tc>
          <w:tcPr>
            <w:tcW w:w="767" w:type="pct"/>
            <w:vAlign w:val="center"/>
          </w:tcPr>
          <w:p w14:paraId="4E33FF61"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4</w:t>
            </w:r>
          </w:p>
        </w:tc>
      </w:tr>
      <w:tr w:rsidR="000C649E" w:rsidRPr="000F53C8" w14:paraId="0E0F53A5" w14:textId="77777777" w:rsidTr="00733ADF">
        <w:trPr>
          <w:trHeight w:val="283"/>
        </w:trPr>
        <w:tc>
          <w:tcPr>
            <w:tcW w:w="1168" w:type="pct"/>
            <w:shd w:val="clear" w:color="auto" w:fill="DEEAF6" w:themeFill="accent1" w:themeFillTint="33"/>
          </w:tcPr>
          <w:p w14:paraId="128B3F41" w14:textId="77777777" w:rsidR="000C649E" w:rsidRPr="000F53C8" w:rsidRDefault="000C649E" w:rsidP="000C649E">
            <w:pPr>
              <w:spacing w:before="0" w:after="0"/>
              <w:ind w:left="0"/>
              <w:jc w:val="left"/>
              <w:rPr>
                <w:rFonts w:ascii="Calibri" w:hAnsi="Calibri" w:cs="Calibri"/>
                <w:szCs w:val="22"/>
                <w:lang w:eastAsia="en-GB"/>
              </w:rPr>
            </w:pPr>
            <w:r w:rsidRPr="000F53C8">
              <w:rPr>
                <w:rFonts w:ascii="Calibri" w:hAnsi="Calibri" w:cs="Calibri"/>
                <w:szCs w:val="22"/>
                <w:lang w:eastAsia="en-GB"/>
              </w:rPr>
              <w:t>NGOs, international agencies and donors</w:t>
            </w:r>
          </w:p>
        </w:tc>
        <w:tc>
          <w:tcPr>
            <w:tcW w:w="766" w:type="pct"/>
            <w:vAlign w:val="center"/>
          </w:tcPr>
          <w:p w14:paraId="03066DCB"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3</w:t>
            </w:r>
          </w:p>
        </w:tc>
        <w:tc>
          <w:tcPr>
            <w:tcW w:w="766" w:type="pct"/>
            <w:vAlign w:val="center"/>
          </w:tcPr>
          <w:p w14:paraId="28AEBBAC"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2</w:t>
            </w:r>
          </w:p>
        </w:tc>
        <w:tc>
          <w:tcPr>
            <w:tcW w:w="766" w:type="pct"/>
            <w:vAlign w:val="center"/>
          </w:tcPr>
          <w:p w14:paraId="52626E6E"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6" w:type="pct"/>
            <w:vAlign w:val="center"/>
          </w:tcPr>
          <w:p w14:paraId="2533649A"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7" w:type="pct"/>
            <w:vAlign w:val="center"/>
          </w:tcPr>
          <w:p w14:paraId="3FA73E57"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5</w:t>
            </w:r>
          </w:p>
        </w:tc>
      </w:tr>
      <w:tr w:rsidR="000C649E" w:rsidRPr="000F53C8" w14:paraId="782E1FDF" w14:textId="77777777" w:rsidTr="00733ADF">
        <w:trPr>
          <w:trHeight w:val="283"/>
        </w:trPr>
        <w:tc>
          <w:tcPr>
            <w:tcW w:w="1168" w:type="pct"/>
            <w:shd w:val="clear" w:color="auto" w:fill="DEEAF6" w:themeFill="accent1" w:themeFillTint="33"/>
          </w:tcPr>
          <w:p w14:paraId="7D0891B7" w14:textId="77777777" w:rsidR="000C649E" w:rsidRPr="000F53C8" w:rsidRDefault="000C649E" w:rsidP="000C649E">
            <w:pPr>
              <w:spacing w:before="0" w:after="0"/>
              <w:ind w:left="0"/>
              <w:jc w:val="left"/>
              <w:rPr>
                <w:rFonts w:ascii="Calibri" w:hAnsi="Calibri" w:cs="Calibri"/>
                <w:szCs w:val="22"/>
                <w:lang w:eastAsia="en-GB"/>
              </w:rPr>
            </w:pPr>
            <w:r w:rsidRPr="000F53C8">
              <w:rPr>
                <w:rFonts w:ascii="Calibri" w:hAnsi="Calibri" w:cs="Calibri"/>
                <w:szCs w:val="22"/>
                <w:lang w:eastAsia="en-GB"/>
              </w:rPr>
              <w:t>OMVS/OMVG</w:t>
            </w:r>
          </w:p>
        </w:tc>
        <w:tc>
          <w:tcPr>
            <w:tcW w:w="766" w:type="pct"/>
            <w:vAlign w:val="center"/>
          </w:tcPr>
          <w:p w14:paraId="4CCB2333"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6" w:type="pct"/>
            <w:vAlign w:val="center"/>
          </w:tcPr>
          <w:p w14:paraId="28122FF9"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6" w:type="pct"/>
            <w:vAlign w:val="center"/>
          </w:tcPr>
          <w:p w14:paraId="5CC73221"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w:t>
            </w:r>
          </w:p>
        </w:tc>
        <w:tc>
          <w:tcPr>
            <w:tcW w:w="766" w:type="pct"/>
            <w:vAlign w:val="center"/>
          </w:tcPr>
          <w:p w14:paraId="60DB118D"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3</w:t>
            </w:r>
          </w:p>
        </w:tc>
        <w:tc>
          <w:tcPr>
            <w:tcW w:w="767" w:type="pct"/>
            <w:vAlign w:val="center"/>
          </w:tcPr>
          <w:p w14:paraId="4F3D27D6" w14:textId="77777777" w:rsidR="000C649E" w:rsidRPr="000F53C8" w:rsidRDefault="000C649E" w:rsidP="000C649E">
            <w:pPr>
              <w:spacing w:before="0" w:after="0"/>
              <w:ind w:left="0"/>
              <w:jc w:val="center"/>
              <w:rPr>
                <w:rFonts w:ascii="Calibri" w:hAnsi="Calibri" w:cs="Calibri"/>
                <w:szCs w:val="22"/>
                <w:lang w:eastAsia="en-GB"/>
              </w:rPr>
            </w:pPr>
            <w:r w:rsidRPr="000F53C8">
              <w:rPr>
                <w:rFonts w:ascii="Calibri" w:hAnsi="Calibri" w:cs="Calibri"/>
                <w:szCs w:val="22"/>
                <w:lang w:eastAsia="en-GB"/>
              </w:rPr>
              <w:t>3</w:t>
            </w:r>
          </w:p>
        </w:tc>
      </w:tr>
      <w:tr w:rsidR="000C649E" w:rsidRPr="000F53C8" w14:paraId="02944AE9" w14:textId="77777777" w:rsidTr="00733ADF">
        <w:trPr>
          <w:trHeight w:val="283"/>
        </w:trPr>
        <w:tc>
          <w:tcPr>
            <w:tcW w:w="1168" w:type="pct"/>
            <w:shd w:val="clear" w:color="auto" w:fill="DEEAF6" w:themeFill="accent1" w:themeFillTint="33"/>
          </w:tcPr>
          <w:p w14:paraId="1C8993C4" w14:textId="77777777" w:rsidR="000C649E" w:rsidRPr="000F53C8" w:rsidRDefault="000C649E" w:rsidP="000C649E">
            <w:pPr>
              <w:spacing w:before="0" w:after="0"/>
              <w:ind w:left="0"/>
              <w:jc w:val="left"/>
              <w:rPr>
                <w:rFonts w:ascii="Calibri" w:hAnsi="Calibri" w:cs="Calibri"/>
                <w:b/>
                <w:bCs/>
                <w:szCs w:val="22"/>
                <w:lang w:eastAsia="en-GB"/>
              </w:rPr>
            </w:pPr>
            <w:r w:rsidRPr="000F53C8">
              <w:rPr>
                <w:rFonts w:ascii="Calibri" w:hAnsi="Calibri" w:cs="Calibri"/>
                <w:b/>
                <w:bCs/>
                <w:szCs w:val="22"/>
                <w:lang w:eastAsia="en-GB"/>
              </w:rPr>
              <w:t>Total</w:t>
            </w:r>
          </w:p>
        </w:tc>
        <w:tc>
          <w:tcPr>
            <w:tcW w:w="766" w:type="pct"/>
            <w:tcMar>
              <w:left w:w="0" w:type="dxa"/>
              <w:right w:w="0" w:type="dxa"/>
            </w:tcMar>
            <w:vAlign w:val="center"/>
          </w:tcPr>
          <w:p w14:paraId="64F69374" w14:textId="77777777" w:rsidR="000C649E" w:rsidRPr="000F53C8" w:rsidRDefault="000C649E" w:rsidP="000C649E">
            <w:pPr>
              <w:spacing w:before="0" w:after="0"/>
              <w:ind w:left="0"/>
              <w:jc w:val="center"/>
              <w:rPr>
                <w:rFonts w:ascii="Calibri" w:hAnsi="Calibri" w:cs="Calibri"/>
                <w:b/>
                <w:bCs/>
                <w:szCs w:val="22"/>
                <w:lang w:eastAsia="en-GB"/>
              </w:rPr>
            </w:pPr>
            <w:r w:rsidRPr="000F53C8">
              <w:rPr>
                <w:rFonts w:ascii="Calibri" w:hAnsi="Calibri" w:cs="Calibri"/>
                <w:b/>
                <w:bCs/>
                <w:szCs w:val="22"/>
                <w:lang w:eastAsia="en-GB"/>
              </w:rPr>
              <w:t>7</w:t>
            </w:r>
          </w:p>
        </w:tc>
        <w:tc>
          <w:tcPr>
            <w:tcW w:w="766" w:type="pct"/>
            <w:tcMar>
              <w:left w:w="0" w:type="dxa"/>
              <w:right w:w="0" w:type="dxa"/>
            </w:tcMar>
            <w:vAlign w:val="center"/>
          </w:tcPr>
          <w:p w14:paraId="6283AD65" w14:textId="77777777" w:rsidR="000C649E" w:rsidRPr="000F53C8" w:rsidRDefault="000C649E" w:rsidP="000C649E">
            <w:pPr>
              <w:spacing w:before="0" w:after="0"/>
              <w:ind w:left="0"/>
              <w:jc w:val="center"/>
              <w:rPr>
                <w:rFonts w:ascii="Calibri" w:hAnsi="Calibri" w:cs="Calibri"/>
                <w:b/>
                <w:bCs/>
                <w:szCs w:val="22"/>
                <w:lang w:eastAsia="en-GB"/>
              </w:rPr>
            </w:pPr>
            <w:r w:rsidRPr="000F53C8">
              <w:rPr>
                <w:rFonts w:ascii="Calibri" w:hAnsi="Calibri" w:cs="Calibri"/>
                <w:b/>
                <w:bCs/>
                <w:szCs w:val="22"/>
                <w:lang w:eastAsia="en-GB"/>
              </w:rPr>
              <w:t>9</w:t>
            </w:r>
          </w:p>
        </w:tc>
        <w:tc>
          <w:tcPr>
            <w:tcW w:w="766" w:type="pct"/>
            <w:tcMar>
              <w:left w:w="0" w:type="dxa"/>
              <w:right w:w="0" w:type="dxa"/>
            </w:tcMar>
            <w:vAlign w:val="center"/>
          </w:tcPr>
          <w:p w14:paraId="709FD6E0" w14:textId="77777777" w:rsidR="000C649E" w:rsidRPr="000F53C8" w:rsidRDefault="000C649E" w:rsidP="000C649E">
            <w:pPr>
              <w:spacing w:before="0" w:after="0"/>
              <w:ind w:left="0"/>
              <w:jc w:val="center"/>
              <w:rPr>
                <w:rFonts w:ascii="Calibri" w:hAnsi="Calibri" w:cs="Calibri"/>
                <w:b/>
                <w:bCs/>
                <w:szCs w:val="22"/>
                <w:lang w:eastAsia="en-GB"/>
              </w:rPr>
            </w:pPr>
            <w:r w:rsidRPr="000F53C8">
              <w:rPr>
                <w:rFonts w:ascii="Calibri" w:hAnsi="Calibri" w:cs="Calibri"/>
                <w:b/>
                <w:bCs/>
                <w:szCs w:val="22"/>
                <w:lang w:eastAsia="en-GB"/>
              </w:rPr>
              <w:t>3</w:t>
            </w:r>
          </w:p>
        </w:tc>
        <w:tc>
          <w:tcPr>
            <w:tcW w:w="766" w:type="pct"/>
            <w:tcMar>
              <w:left w:w="0" w:type="dxa"/>
              <w:right w:w="0" w:type="dxa"/>
            </w:tcMar>
            <w:vAlign w:val="center"/>
          </w:tcPr>
          <w:p w14:paraId="3F0351C0" w14:textId="77777777" w:rsidR="000C649E" w:rsidRPr="000F53C8" w:rsidRDefault="000C649E" w:rsidP="000C649E">
            <w:pPr>
              <w:spacing w:before="0" w:after="0"/>
              <w:ind w:left="0"/>
              <w:jc w:val="center"/>
              <w:rPr>
                <w:rFonts w:ascii="Calibri" w:hAnsi="Calibri" w:cs="Calibri"/>
                <w:b/>
                <w:bCs/>
                <w:szCs w:val="22"/>
                <w:lang w:eastAsia="en-GB"/>
              </w:rPr>
            </w:pPr>
            <w:r w:rsidRPr="000F53C8">
              <w:rPr>
                <w:rFonts w:ascii="Calibri" w:hAnsi="Calibri" w:cs="Calibri"/>
                <w:b/>
                <w:bCs/>
                <w:szCs w:val="22"/>
                <w:lang w:eastAsia="en-GB"/>
              </w:rPr>
              <w:t>10</w:t>
            </w:r>
          </w:p>
        </w:tc>
        <w:tc>
          <w:tcPr>
            <w:tcW w:w="767" w:type="pct"/>
            <w:tcMar>
              <w:left w:w="0" w:type="dxa"/>
              <w:right w:w="0" w:type="dxa"/>
            </w:tcMar>
            <w:vAlign w:val="center"/>
          </w:tcPr>
          <w:p w14:paraId="7D640EAF" w14:textId="77777777" w:rsidR="000C649E" w:rsidRPr="000F53C8" w:rsidRDefault="000C649E" w:rsidP="000C649E">
            <w:pPr>
              <w:spacing w:before="0" w:after="0"/>
              <w:ind w:left="0"/>
              <w:jc w:val="center"/>
              <w:rPr>
                <w:rFonts w:ascii="Calibri" w:hAnsi="Calibri" w:cs="Calibri"/>
                <w:b/>
                <w:bCs/>
                <w:szCs w:val="22"/>
                <w:lang w:eastAsia="en-GB"/>
              </w:rPr>
            </w:pPr>
            <w:r w:rsidRPr="000F53C8">
              <w:rPr>
                <w:rFonts w:ascii="Calibri" w:hAnsi="Calibri" w:cs="Calibri"/>
                <w:b/>
                <w:bCs/>
                <w:szCs w:val="22"/>
                <w:lang w:eastAsia="en-GB"/>
              </w:rPr>
              <w:t>29</w:t>
            </w:r>
          </w:p>
        </w:tc>
      </w:tr>
    </w:tbl>
    <w:p w14:paraId="0E0A7F86" w14:textId="77777777" w:rsidR="000C649E" w:rsidRPr="000F53C8" w:rsidRDefault="000C649E" w:rsidP="000C649E">
      <w:pPr>
        <w:spacing w:before="0" w:after="0"/>
        <w:ind w:left="0"/>
        <w:rPr>
          <w:rFonts w:ascii="Calibri" w:eastAsia="Calibri" w:hAnsi="Calibri"/>
          <w:szCs w:val="22"/>
          <w:lang w:val="en-GB" w:eastAsia="en-US"/>
        </w:rPr>
      </w:pPr>
      <w:r w:rsidRPr="000F53C8">
        <w:rPr>
          <w:rFonts w:ascii="Calibri" w:eastAsia="Calibri" w:hAnsi="Calibri"/>
          <w:szCs w:val="22"/>
          <w:lang w:val="en-GB" w:eastAsia="en-US"/>
        </w:rPr>
        <w:t>*Other governmental:</w:t>
      </w:r>
    </w:p>
    <w:p w14:paraId="43CAF7F8" w14:textId="77777777" w:rsidR="000C649E" w:rsidRPr="000F53C8" w:rsidRDefault="000C649E" w:rsidP="000C649E">
      <w:pPr>
        <w:numPr>
          <w:ilvl w:val="0"/>
          <w:numId w:val="14"/>
        </w:numPr>
        <w:spacing w:before="0" w:after="0"/>
        <w:jc w:val="left"/>
        <w:rPr>
          <w:rFonts w:ascii="Calibri" w:eastAsia="Calibri" w:hAnsi="Calibri"/>
          <w:szCs w:val="22"/>
          <w:lang w:val="en-GB" w:eastAsia="en-US"/>
        </w:rPr>
      </w:pPr>
      <w:r w:rsidRPr="000F53C8">
        <w:rPr>
          <w:rFonts w:ascii="Calibri" w:eastAsia="Calibri" w:hAnsi="Calibri"/>
          <w:szCs w:val="22"/>
          <w:lang w:val="en-GB" w:eastAsia="en-US"/>
        </w:rPr>
        <w:t>Gambia: Public Utilities Regulatory Authority (PURA)</w:t>
      </w:r>
    </w:p>
    <w:p w14:paraId="5C97D017" w14:textId="77777777" w:rsidR="000C649E" w:rsidRPr="000F53C8" w:rsidRDefault="000C649E" w:rsidP="000C649E">
      <w:pPr>
        <w:numPr>
          <w:ilvl w:val="0"/>
          <w:numId w:val="14"/>
        </w:numPr>
        <w:spacing w:before="0" w:after="0"/>
        <w:jc w:val="left"/>
        <w:rPr>
          <w:rFonts w:ascii="Calibri" w:eastAsia="Calibri" w:hAnsi="Calibri"/>
          <w:szCs w:val="22"/>
          <w:lang w:val="en-GB" w:eastAsia="en-US"/>
        </w:rPr>
      </w:pPr>
      <w:r w:rsidRPr="000F53C8">
        <w:rPr>
          <w:rFonts w:ascii="Calibri" w:eastAsia="Calibri" w:hAnsi="Calibri"/>
          <w:szCs w:val="22"/>
          <w:lang w:val="en-GB" w:eastAsia="en-US"/>
        </w:rPr>
        <w:t>Guinea-Bissau: SERVIAGUAS – Public company for Hydrogeological Studies and supervision of borehole construction</w:t>
      </w:r>
    </w:p>
    <w:p w14:paraId="7B087EDB" w14:textId="0BC45F00" w:rsidR="000C649E" w:rsidRPr="000F53C8" w:rsidRDefault="000C649E" w:rsidP="000C649E">
      <w:pPr>
        <w:pStyle w:val="Heading2"/>
        <w:rPr>
          <w:lang w:val="en-GB"/>
        </w:rPr>
      </w:pPr>
      <w:bookmarkStart w:id="2" w:name="_Toc54022736"/>
      <w:bookmarkStart w:id="3" w:name="_Ref51168570"/>
      <w:r w:rsidRPr="000F53C8">
        <w:rPr>
          <w:lang w:val="en-GB"/>
        </w:rPr>
        <w:t>State of groundwater management</w:t>
      </w:r>
      <w:bookmarkEnd w:id="2"/>
      <w:bookmarkEnd w:id="3"/>
    </w:p>
    <w:p w14:paraId="7556BAFF" w14:textId="486E391B" w:rsidR="00033040" w:rsidRPr="000F53C8" w:rsidRDefault="000C649E" w:rsidP="000C649E">
      <w:pPr>
        <w:pStyle w:val="Heading3"/>
        <w:rPr>
          <w:lang w:val="en-GB"/>
        </w:rPr>
      </w:pPr>
      <w:bookmarkStart w:id="4" w:name="_Toc54022737"/>
      <w:r w:rsidRPr="000F53C8">
        <w:rPr>
          <w:lang w:val="en-GB"/>
        </w:rPr>
        <w:t>Gambia</w:t>
      </w:r>
      <w:bookmarkEnd w:id="4"/>
    </w:p>
    <w:p w14:paraId="461D8F7D" w14:textId="77777777" w:rsidR="000C649E" w:rsidRPr="001467D7" w:rsidRDefault="000C649E" w:rsidP="000C649E">
      <w:pPr>
        <w:pStyle w:val="Heading4"/>
        <w:rPr>
          <w:lang w:val="en-GB"/>
        </w:rPr>
      </w:pPr>
      <w:bookmarkStart w:id="5" w:name="_Toc54022738"/>
      <w:r w:rsidRPr="001467D7">
        <w:rPr>
          <w:rStyle w:val="Heading3Char"/>
          <w:b w:val="0"/>
          <w:color w:val="2E74B5" w:themeColor="accent1" w:themeShade="BF"/>
          <w:sz w:val="26"/>
          <w:lang w:val="en-GB"/>
        </w:rPr>
        <w:t>General overview of groundwater use and institutional setting</w:t>
      </w:r>
      <w:bookmarkEnd w:id="5"/>
    </w:p>
    <w:p w14:paraId="77168BB1" w14:textId="77777777" w:rsidR="000C649E" w:rsidRPr="001467D7" w:rsidRDefault="000C649E" w:rsidP="000C649E">
      <w:pPr>
        <w:rPr>
          <w:lang w:val="en-GB"/>
        </w:rPr>
      </w:pPr>
      <w:r w:rsidRPr="001467D7">
        <w:rPr>
          <w:lang w:val="en-GB"/>
        </w:rPr>
        <w:t>Groundwater is the only source of drinking water in the Gambia. All households, the tourism sector and industries rely on groundwater, through boreholes or cheaper hand-dug wells. The use of groundwater in the agriculture is also significant. It is rising with the growth of cash-crop agriculture and horticulture, in particular in peri-urban areas.</w:t>
      </w:r>
    </w:p>
    <w:p w14:paraId="3183CE18" w14:textId="375AAE86" w:rsidR="000C649E" w:rsidRPr="001467D7" w:rsidRDefault="000C649E" w:rsidP="000C649E">
      <w:pPr>
        <w:tabs>
          <w:tab w:val="left" w:pos="1843"/>
        </w:tabs>
        <w:rPr>
          <w:lang w:val="en-GB"/>
        </w:rPr>
      </w:pPr>
      <w:r w:rsidRPr="001467D7">
        <w:rPr>
          <w:lang w:val="en-GB"/>
        </w:rPr>
        <w:t>The Department of Water Resources (DWR) in the Ministry of Fisheries and Water Resources is the main institution in charge of groundwater in the Gambia.</w:t>
      </w:r>
      <w:r w:rsidR="005D5630" w:rsidRPr="001467D7">
        <w:rPr>
          <w:lang w:val="en-GB"/>
        </w:rPr>
        <w:t xml:space="preserve"> Under the IWRC Act. 1979, the DWR is responsible for groundwater abstraction licensing. </w:t>
      </w:r>
      <w:r w:rsidRPr="001467D7">
        <w:rPr>
          <w:lang w:val="en-GB"/>
        </w:rPr>
        <w:t>Through the Divisions of Hydrology and Water Quality (</w:t>
      </w:r>
      <w:r w:rsidRPr="001467D7">
        <w:rPr>
          <w:lang w:val="en-GB"/>
        </w:rPr>
        <w:fldChar w:fldCharType="begin"/>
      </w:r>
      <w:r w:rsidRPr="001467D7">
        <w:rPr>
          <w:lang w:val="en-GB"/>
        </w:rPr>
        <w:instrText xml:space="preserve"> REF _Ref50466672 \h </w:instrText>
      </w:r>
      <w:r w:rsidR="001467D7">
        <w:rPr>
          <w:lang w:val="en-GB"/>
        </w:rPr>
        <w:instrText xml:space="preserve"> \* MERGEFORMAT </w:instrText>
      </w:r>
      <w:r w:rsidRPr="001467D7">
        <w:rPr>
          <w:lang w:val="en-GB"/>
        </w:rPr>
      </w:r>
      <w:r w:rsidRPr="001467D7">
        <w:rPr>
          <w:lang w:val="en-GB"/>
        </w:rPr>
        <w:fldChar w:fldCharType="separate"/>
      </w:r>
      <w:r w:rsidRPr="001467D7">
        <w:rPr>
          <w:lang w:val="en-GB"/>
        </w:rPr>
        <w:t xml:space="preserve">Figure </w:t>
      </w:r>
      <w:r w:rsidRPr="001467D7">
        <w:rPr>
          <w:lang w:val="en-GB"/>
        </w:rPr>
        <w:fldChar w:fldCharType="end"/>
      </w:r>
      <w:r w:rsidR="006B609F" w:rsidRPr="001467D7">
        <w:rPr>
          <w:lang w:val="en-GB"/>
        </w:rPr>
        <w:t>1</w:t>
      </w:r>
      <w:r w:rsidRPr="001467D7">
        <w:rPr>
          <w:lang w:val="en-GB"/>
        </w:rPr>
        <w:t xml:space="preserve">), it coordinates the </w:t>
      </w:r>
      <w:r w:rsidRPr="001467D7">
        <w:rPr>
          <w:lang w:val="en-GB"/>
        </w:rPr>
        <w:lastRenderedPageBreak/>
        <w:t>monitoring of groundwater levels and groundwater quality in the country. Next to DWR, there are 3 important institutions:</w:t>
      </w:r>
    </w:p>
    <w:p w14:paraId="28864E2E" w14:textId="77777777" w:rsidR="000C649E" w:rsidRPr="001467D7" w:rsidRDefault="000C649E" w:rsidP="000C649E">
      <w:pPr>
        <w:pStyle w:val="ListParagraph"/>
        <w:numPr>
          <w:ilvl w:val="0"/>
          <w:numId w:val="15"/>
        </w:numPr>
        <w:spacing w:before="0" w:after="0"/>
        <w:ind w:left="284"/>
        <w:contextualSpacing w:val="0"/>
        <w:rPr>
          <w:lang w:val="en-GB"/>
        </w:rPr>
      </w:pPr>
      <w:r w:rsidRPr="001467D7">
        <w:rPr>
          <w:lang w:val="en-GB"/>
        </w:rPr>
        <w:t>The National Water and Electricity Company (NAWEC) is mandated to provide water supply in the Greater Banjul Area and in the surrounding provinces. Not all inhabitants are connected to the public water supply network though, and many households rely on private boreholes or hand-dug wells.</w:t>
      </w:r>
    </w:p>
    <w:p w14:paraId="3277579E" w14:textId="76B689C4" w:rsidR="005D5630" w:rsidRPr="001467D7" w:rsidRDefault="005D5630" w:rsidP="005D5630">
      <w:pPr>
        <w:pStyle w:val="ListParagraph"/>
        <w:numPr>
          <w:ilvl w:val="0"/>
          <w:numId w:val="15"/>
        </w:numPr>
        <w:spacing w:before="0" w:after="0"/>
        <w:ind w:left="284"/>
        <w:contextualSpacing w:val="0"/>
        <w:rPr>
          <w:lang w:val="en-GB"/>
        </w:rPr>
      </w:pPr>
      <w:r w:rsidRPr="001467D7">
        <w:rPr>
          <w:lang w:val="en-GB"/>
        </w:rPr>
        <w:t>The National Environment Agency (NEA) is responsible for solid waste management, establishment of water quality standards, environmental pollution control (including those that could lead to water pollution) etc.</w:t>
      </w:r>
    </w:p>
    <w:p w14:paraId="07271DF4" w14:textId="77777777" w:rsidR="000C649E" w:rsidRPr="001467D7" w:rsidRDefault="000C649E" w:rsidP="000C649E">
      <w:pPr>
        <w:pStyle w:val="ListParagraph"/>
        <w:numPr>
          <w:ilvl w:val="0"/>
          <w:numId w:val="15"/>
        </w:numPr>
        <w:spacing w:before="0" w:after="0"/>
        <w:ind w:left="284"/>
        <w:contextualSpacing w:val="0"/>
        <w:rPr>
          <w:lang w:val="en-GB"/>
        </w:rPr>
      </w:pPr>
      <w:r w:rsidRPr="001467D7">
        <w:rPr>
          <w:lang w:val="en-GB"/>
        </w:rPr>
        <w:t>The Public Utilities Regulatory Authority (PURA) offers monitoring services in the sectors of energy (oil), telecom and water. It monitors groundwater quality (in cooperation with the Water Quality Division at DWR) and the infrastructure of NAWEC, as well as wastewater. It also controls the quality of water upon request. Everybody can introduce a request.</w:t>
      </w:r>
    </w:p>
    <w:p w14:paraId="2149DA44" w14:textId="4067EC26" w:rsidR="000C649E" w:rsidRPr="001467D7" w:rsidRDefault="005D5630" w:rsidP="000C649E">
      <w:pPr>
        <w:rPr>
          <w:lang w:val="en-GB"/>
        </w:rPr>
      </w:pPr>
      <w:r w:rsidRPr="001467D7">
        <w:rPr>
          <w:lang w:val="en-GB"/>
        </w:rPr>
        <w:t>In 2011-2015, the African Development Bank (AfDB) supported a project to reform the water sector, a.o. to promote the integrated water resources management (IWRM) and thus proposed a draft bill to establish the National Water Resources Management Authority. The National Water Sector Reform Project also produced a new version of the Gambia Water Act. However, the reform prepared by the project hasn’t been implemented yet. Interviewees said political, administrative and technical support is being sought among key stakeholders to ensure its implementation. However, it is not clear when these recommendations will come into applications.</w:t>
      </w:r>
    </w:p>
    <w:p w14:paraId="6DDB3BF4" w14:textId="77777777" w:rsidR="005D5630" w:rsidRPr="001467D7" w:rsidRDefault="005D5630" w:rsidP="000C649E">
      <w:pPr>
        <w:rPr>
          <w:lang w:val="en-GB"/>
        </w:rPr>
      </w:pPr>
    </w:p>
    <w:p w14:paraId="29471582" w14:textId="77777777" w:rsidR="000C649E" w:rsidRPr="001467D7" w:rsidRDefault="000C649E" w:rsidP="000C649E">
      <w:pPr>
        <w:rPr>
          <w:lang w:val="en-GB"/>
        </w:rPr>
      </w:pPr>
      <w:r w:rsidRPr="001467D7">
        <w:rPr>
          <w:noProof/>
          <w:lang w:eastAsia="fr-CH"/>
        </w:rPr>
        <w:drawing>
          <wp:anchor distT="0" distB="0" distL="114300" distR="114300" simplePos="0" relativeHeight="251663360" behindDoc="0" locked="0" layoutInCell="1" allowOverlap="1" wp14:anchorId="001FC8AE" wp14:editId="5E6259EE">
            <wp:simplePos x="0" y="0"/>
            <wp:positionH relativeFrom="column">
              <wp:posOffset>0</wp:posOffset>
            </wp:positionH>
            <wp:positionV relativeFrom="paragraph">
              <wp:posOffset>-1905</wp:posOffset>
            </wp:positionV>
            <wp:extent cx="3460115" cy="3002915"/>
            <wp:effectExtent l="0" t="0" r="698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r="13583"/>
                    <a:stretch/>
                  </pic:blipFill>
                  <pic:spPr bwMode="auto">
                    <a:xfrm>
                      <a:off x="0" y="0"/>
                      <a:ext cx="3460115" cy="3002915"/>
                    </a:xfrm>
                    <a:prstGeom prst="rect">
                      <a:avLst/>
                    </a:prstGeom>
                    <a:ln>
                      <a:noFill/>
                    </a:ln>
                    <a:extLst>
                      <a:ext uri="{53640926-AAD7-44D8-BBD7-CCE9431645EC}">
                        <a14:shadowObscured xmlns:a14="http://schemas.microsoft.com/office/drawing/2010/main"/>
                      </a:ext>
                    </a:extLst>
                  </pic:spPr>
                </pic:pic>
              </a:graphicData>
            </a:graphic>
          </wp:anchor>
        </w:drawing>
      </w:r>
    </w:p>
    <w:p w14:paraId="2710D58C" w14:textId="77B709CD" w:rsidR="000C649E" w:rsidRPr="001467D7" w:rsidRDefault="000C649E" w:rsidP="000C649E">
      <w:pPr>
        <w:pStyle w:val="Caption"/>
        <w:rPr>
          <w:lang w:val="en-GB"/>
        </w:rPr>
      </w:pPr>
      <w:bookmarkStart w:id="6" w:name="_Ref50466672"/>
      <w:r w:rsidRPr="001467D7">
        <w:rPr>
          <w:lang w:val="en-GB"/>
        </w:rPr>
        <w:t xml:space="preserve">Figure </w:t>
      </w:r>
      <w:bookmarkEnd w:id="6"/>
      <w:r w:rsidR="006B609F" w:rsidRPr="001467D7">
        <w:rPr>
          <w:lang w:val="en-GB"/>
        </w:rPr>
        <w:t>1</w:t>
      </w:r>
      <w:r w:rsidRPr="001467D7">
        <w:rPr>
          <w:lang w:val="en-GB"/>
        </w:rPr>
        <w:t xml:space="preserve"> Organisational structure of the Department of Water Resources in the Gambia.</w:t>
      </w:r>
    </w:p>
    <w:p w14:paraId="4BDD33FA" w14:textId="77777777" w:rsidR="000C649E" w:rsidRPr="001467D7" w:rsidRDefault="000C649E" w:rsidP="000C649E">
      <w:pPr>
        <w:rPr>
          <w:lang w:val="en-GB"/>
        </w:rPr>
      </w:pPr>
    </w:p>
    <w:p w14:paraId="2B316A79" w14:textId="0038040C" w:rsidR="000C649E" w:rsidRPr="001467D7" w:rsidRDefault="000C649E" w:rsidP="000C649E">
      <w:pPr>
        <w:rPr>
          <w:lang w:val="en-GB"/>
        </w:rPr>
      </w:pPr>
    </w:p>
    <w:p w14:paraId="7FFFDE2D" w14:textId="15FB6FCB" w:rsidR="000C649E" w:rsidRPr="001467D7" w:rsidRDefault="000C649E" w:rsidP="000C649E">
      <w:pPr>
        <w:rPr>
          <w:lang w:val="en-GB"/>
        </w:rPr>
      </w:pPr>
    </w:p>
    <w:p w14:paraId="69FC81F4" w14:textId="17126B39" w:rsidR="000C649E" w:rsidRPr="001467D7" w:rsidRDefault="000C649E" w:rsidP="000C649E">
      <w:pPr>
        <w:rPr>
          <w:lang w:val="en-GB"/>
        </w:rPr>
      </w:pPr>
    </w:p>
    <w:p w14:paraId="38A82DAB" w14:textId="26ECC94C" w:rsidR="000C649E" w:rsidRPr="001467D7" w:rsidRDefault="000C649E" w:rsidP="000C649E">
      <w:pPr>
        <w:rPr>
          <w:lang w:val="en-GB"/>
        </w:rPr>
      </w:pPr>
    </w:p>
    <w:p w14:paraId="64F329B8" w14:textId="5F947220" w:rsidR="000C649E" w:rsidRPr="001467D7" w:rsidRDefault="000C649E" w:rsidP="000C649E">
      <w:pPr>
        <w:rPr>
          <w:lang w:val="en-GB"/>
        </w:rPr>
      </w:pPr>
    </w:p>
    <w:p w14:paraId="5CEB203F" w14:textId="4340FCEF" w:rsidR="000C649E" w:rsidRPr="001467D7" w:rsidRDefault="000C649E" w:rsidP="000C649E">
      <w:pPr>
        <w:rPr>
          <w:lang w:val="en-GB"/>
        </w:rPr>
      </w:pPr>
    </w:p>
    <w:p w14:paraId="2F3433D1" w14:textId="00B4AE59" w:rsidR="000C649E" w:rsidRPr="001467D7" w:rsidRDefault="000C649E" w:rsidP="000C649E">
      <w:pPr>
        <w:rPr>
          <w:lang w:val="en-GB"/>
        </w:rPr>
      </w:pPr>
    </w:p>
    <w:p w14:paraId="2E914282" w14:textId="15B13538" w:rsidR="000C649E" w:rsidRPr="001467D7" w:rsidRDefault="000C649E" w:rsidP="000C649E">
      <w:pPr>
        <w:rPr>
          <w:lang w:val="en-GB"/>
        </w:rPr>
      </w:pPr>
    </w:p>
    <w:p w14:paraId="4A5368F7" w14:textId="77777777" w:rsidR="000C649E" w:rsidRPr="001467D7" w:rsidRDefault="000C649E" w:rsidP="000C649E">
      <w:pPr>
        <w:rPr>
          <w:lang w:val="en-GB"/>
        </w:rPr>
      </w:pPr>
    </w:p>
    <w:p w14:paraId="079D853A" w14:textId="77777777" w:rsidR="000C649E" w:rsidRPr="001467D7" w:rsidRDefault="000C649E" w:rsidP="000C649E">
      <w:pPr>
        <w:rPr>
          <w:lang w:val="en-GB"/>
        </w:rPr>
      </w:pPr>
    </w:p>
    <w:p w14:paraId="6CCC7728" w14:textId="77777777" w:rsidR="000C649E" w:rsidRPr="001467D7" w:rsidRDefault="000C649E" w:rsidP="000C649E">
      <w:pPr>
        <w:pStyle w:val="Heading4"/>
        <w:rPr>
          <w:lang w:val="en-GB"/>
        </w:rPr>
      </w:pPr>
      <w:bookmarkStart w:id="7" w:name="_Toc54022739"/>
      <w:r w:rsidRPr="001467D7">
        <w:rPr>
          <w:lang w:val="en-GB"/>
        </w:rPr>
        <w:t>Collection and management of borehole data</w:t>
      </w:r>
      <w:bookmarkEnd w:id="7"/>
    </w:p>
    <w:p w14:paraId="51347D36" w14:textId="77777777" w:rsidR="00F21BD6" w:rsidRPr="001467D7" w:rsidRDefault="000C649E" w:rsidP="000C649E">
      <w:pPr>
        <w:rPr>
          <w:lang w:val="en-GB"/>
        </w:rPr>
      </w:pPr>
      <w:r w:rsidRPr="001467D7">
        <w:rPr>
          <w:lang w:val="en-GB"/>
        </w:rPr>
        <w:t>Permits are needed to prospect, drill or abstract water above 10 m</w:t>
      </w:r>
      <w:r w:rsidRPr="001467D7">
        <w:rPr>
          <w:vertAlign w:val="superscript"/>
          <w:lang w:val="en-GB"/>
        </w:rPr>
        <w:t>3</w:t>
      </w:r>
      <w:r w:rsidRPr="001467D7">
        <w:rPr>
          <w:lang w:val="en-GB"/>
        </w:rPr>
        <w:t>/day. In theory, NEA is responsible for permits, at least until the new National Water Resources Management Authority is created.</w:t>
      </w:r>
    </w:p>
    <w:p w14:paraId="5194DC78" w14:textId="77777777" w:rsidR="00F21BD6" w:rsidRPr="001467D7" w:rsidRDefault="00F21BD6" w:rsidP="000C649E">
      <w:pPr>
        <w:rPr>
          <w:lang w:val="en-GB"/>
        </w:rPr>
      </w:pPr>
    </w:p>
    <w:p w14:paraId="243DEE57" w14:textId="77777777" w:rsidR="00F21BD6" w:rsidRPr="001467D7" w:rsidRDefault="00F21BD6" w:rsidP="000C649E">
      <w:pPr>
        <w:rPr>
          <w:lang w:val="en-GB"/>
        </w:rPr>
      </w:pPr>
    </w:p>
    <w:p w14:paraId="05F2B11D" w14:textId="77777777" w:rsidR="00F21BD6" w:rsidRPr="001467D7" w:rsidRDefault="00F21BD6" w:rsidP="00820C78">
      <w:pPr>
        <w:rPr>
          <w:lang w:val="en-GB"/>
        </w:rPr>
      </w:pPr>
    </w:p>
    <w:p w14:paraId="5F6E97B1" w14:textId="501E16F7" w:rsidR="00F21BD6" w:rsidRPr="001467D7" w:rsidRDefault="00F21BD6" w:rsidP="00820C78">
      <w:pPr>
        <w:pStyle w:val="CommentText"/>
        <w:spacing w:after="0"/>
        <w:rPr>
          <w:sz w:val="22"/>
          <w:szCs w:val="24"/>
          <w:lang w:val="en-GB"/>
        </w:rPr>
      </w:pPr>
      <w:r w:rsidRPr="001467D7">
        <w:rPr>
          <w:sz w:val="22"/>
          <w:szCs w:val="24"/>
          <w:lang w:val="en-GB"/>
        </w:rPr>
        <w:t xml:space="preserve">Currently, there are no such permits being issued by NEA. This is the sole responsibility of the DWR under the NWRC Act 1979. Section 10 (g) of the Act. instructs the National Water Resources Committee to establish licensing system for all users and uses of water. Furthermore, Section 13 (d) states empowers DWR to initiate a system of water rights administration and regulate the development and use of water resources . </w:t>
      </w:r>
    </w:p>
    <w:p w14:paraId="321DC7DF" w14:textId="6B7CF975" w:rsidR="000C649E" w:rsidRPr="001467D7" w:rsidRDefault="000C649E" w:rsidP="00820C78">
      <w:pPr>
        <w:rPr>
          <w:lang w:val="en-GB"/>
        </w:rPr>
      </w:pPr>
      <w:r w:rsidRPr="001467D7">
        <w:rPr>
          <w:lang w:val="en-GB"/>
        </w:rPr>
        <w:t xml:space="preserve"> </w:t>
      </w:r>
      <w:r w:rsidR="00F21BD6" w:rsidRPr="001467D7">
        <w:rPr>
          <w:lang w:val="en-GB"/>
        </w:rPr>
        <w:t>T</w:t>
      </w:r>
      <w:r w:rsidRPr="001467D7">
        <w:rPr>
          <w:lang w:val="en-GB"/>
        </w:rPr>
        <w:t xml:space="preserve">he application for permits is not enforced and borehole data are not being collected. </w:t>
      </w:r>
      <w:r w:rsidR="00F21BD6" w:rsidRPr="001467D7">
        <w:rPr>
          <w:lang w:val="en-GB"/>
        </w:rPr>
        <w:t>There is currently nor comprehensive mechanism for data sharing between NAWEC and DWR.</w:t>
      </w:r>
      <w:r w:rsidRPr="001467D7">
        <w:rPr>
          <w:lang w:val="en-GB"/>
        </w:rPr>
        <w:t xml:space="preserve"> Only international organisations do sometimes ask for licenses, because they are used to do so in other countries. As a consequence, there is no monitoring and control of groundwater abstraction in the Gambia. An inventory of groundwater points was made in 2014 by Niras (Danish consultant), as part of the National Water Sector Reform Project. About </w:t>
      </w:r>
      <w:r w:rsidR="00F21BD6" w:rsidRPr="001467D7">
        <w:rPr>
          <w:lang w:val="en-GB"/>
        </w:rPr>
        <w:t>1</w:t>
      </w:r>
      <w:r w:rsidRPr="001467D7">
        <w:rPr>
          <w:lang w:val="en-GB"/>
        </w:rPr>
        <w:t xml:space="preserve">000 groundwater points were collected, from different sources. However, there is no budget to keep this inventory going and there hasn’t been any updated. </w:t>
      </w:r>
      <w:r w:rsidR="00820C78" w:rsidRPr="001467D7">
        <w:rPr>
          <w:lang w:val="en-GB"/>
        </w:rPr>
        <w:t xml:space="preserve">The data of the inventory were stored in a relational database called GeODin. However, some interviewee said there was insufficient training on GeODin and the main person in charge of the software has been given another assignment at some point, thus leaving the database unattended. Moreover, the software license has technically expired and thus there is no anticipated support from the supplier. Therefore, the data has been retrieved and transferred into Excel to avoid any unforeseen data lost. An ongoing project supporting the WASH sector aims at updating the inventory with a survey of wells and boreholes throughout the country. </w:t>
      </w:r>
      <w:r w:rsidRPr="001467D7">
        <w:rPr>
          <w:lang w:val="en-GB"/>
        </w:rPr>
        <w:t xml:space="preserve">Groundwater is pumped either from the phreatic aquifer or the semi-confined aquifer, both of which constitute the Shallow Sandstone Aquifer (SSA). As the SSA covers the entire country, finding groundwater is not challenging (one interviewee said that any borehole provides at least 25 L/s) and there is little use of geophysics for siting wells, except in the western coastal area where salinity is high. </w:t>
      </w:r>
      <w:r w:rsidR="00820C78" w:rsidRPr="002F6D03">
        <w:rPr>
          <w:lang w:val="en-GB"/>
        </w:rPr>
        <w:t>Drilling reports are prepared for the borehole drillings supervised by the department staff</w:t>
      </w:r>
      <w:r w:rsidRPr="001467D7">
        <w:rPr>
          <w:lang w:val="en-GB"/>
        </w:rPr>
        <w:t xml:space="preserve">. Drilling is not so expensive (less than 2000 USD), and can be afforded by small businesses and upper-middle class households. </w:t>
      </w:r>
      <w:r w:rsidR="00820C78" w:rsidRPr="002F6D03">
        <w:rPr>
          <w:lang w:val="en-GB"/>
        </w:rPr>
        <w:t>There is no regulation to enforce water sampling and analysis and  so only borehole drilled officially send samples for analysis.  A lot more do not and especially the household boreholes.</w:t>
      </w:r>
      <w:r w:rsidRPr="001467D7">
        <w:rPr>
          <w:lang w:val="en-GB"/>
        </w:rPr>
        <w:t xml:space="preserve"> </w:t>
      </w:r>
      <w:r w:rsidR="00820C78" w:rsidRPr="001467D7">
        <w:rPr>
          <w:lang w:val="en-GB"/>
        </w:rPr>
        <w:t>Iron and manganese are important contaminants in the semi-confined aquifer, in the south-west section of the country. In case of contamination, the borehole is sealed, and the phreatic aquifer is tapped instead. On the other hand, the phreatic aquifer is more vulnerable to anthropogenic contamination, i.e. nitrates and pathogens, and to water level fluctuations. Currently, nitrate in the water supply sources is observed to be on the increase and NAWEC doesn’t have equipment to remove it from groundwater; therefore production boreholes with high nitrate content are usually decommissioned.</w:t>
      </w:r>
    </w:p>
    <w:p w14:paraId="2A76CC0A" w14:textId="77777777" w:rsidR="000C649E" w:rsidRPr="001467D7" w:rsidRDefault="000C649E" w:rsidP="000C649E">
      <w:pPr>
        <w:pStyle w:val="Heading4"/>
        <w:rPr>
          <w:lang w:val="en-GB"/>
        </w:rPr>
      </w:pPr>
      <w:bookmarkStart w:id="8" w:name="_Toc54022740"/>
      <w:r w:rsidRPr="001467D7">
        <w:rPr>
          <w:lang w:val="en-GB"/>
        </w:rPr>
        <w:t>Groundwater monitoring</w:t>
      </w:r>
      <w:bookmarkEnd w:id="8"/>
    </w:p>
    <w:p w14:paraId="3ED754C3" w14:textId="27DAF3FA" w:rsidR="006B609F" w:rsidRPr="001467D7" w:rsidRDefault="006B609F" w:rsidP="000C649E">
      <w:pPr>
        <w:rPr>
          <w:lang w:val="en-GB"/>
        </w:rPr>
      </w:pPr>
    </w:p>
    <w:p w14:paraId="3171E202" w14:textId="77777777" w:rsidR="00D70508" w:rsidRPr="001467D7" w:rsidRDefault="00D70508" w:rsidP="00D70508">
      <w:pPr>
        <w:rPr>
          <w:lang w:val="en-GB"/>
        </w:rPr>
      </w:pPr>
      <w:r w:rsidRPr="001467D7">
        <w:rPr>
          <w:lang w:val="en-GB"/>
        </w:rPr>
        <w:t xml:space="preserve">A groundwater monitoring network was launched in 2014 as part of the National Water Sector Reform Project. There is several on-going projects aim at improving it. For the moment, it consists in 38 observation boreholes distributed across the country. Wherein eighteen (18)  of them are located in the Great Banjul Area (GBA) with the highest concentration of abstraction boreholes. Fifty (50) additional observation boreholes will be drilled and equipped with data loggers in the next years. Initially, all 38 observation boreholes were equipped with automatic data loggers, but many failed. Hence extra few data loggers with much higher performance rate were purchased. Since the new data loggers are more expensive, not all the boreholes could be equipped (max. 6 are currently working). The maintenance of automatic data loggers appears to be challenging. The other boreholes are measured manually at an undetermined frequency due to inadequate mobility and delay disbursement of funds... DWR currently stores the data in Excel files, which is later transferred into the Global Groundwater Monitoring Network (GGMN). The data is shared for free upon request, and DWR receives numerous requests from students, </w:t>
      </w:r>
      <w:r w:rsidRPr="001467D7">
        <w:rPr>
          <w:lang w:val="en-GB"/>
        </w:rPr>
        <w:lastRenderedPageBreak/>
        <w:t>researchers, local and international consultants, projects, government agencies etc. There is no dedicated monitoring in the vicinity of production boreholes of NAWEC and other big groundwater users, or close to potential polluters (no protection or compliance monitoring). The monitoring is for detecting the general trends of national groundwater resources.</w:t>
      </w:r>
    </w:p>
    <w:p w14:paraId="15CE968A" w14:textId="77777777" w:rsidR="00D70508" w:rsidRPr="000F53C8" w:rsidRDefault="00D70508" w:rsidP="000C649E">
      <w:pPr>
        <w:rPr>
          <w:lang w:val="en-GB"/>
        </w:rPr>
      </w:pPr>
    </w:p>
    <w:p w14:paraId="47546591" w14:textId="77777777" w:rsidR="000C649E" w:rsidRPr="000F53C8" w:rsidRDefault="000C649E" w:rsidP="000C649E">
      <w:pPr>
        <w:pStyle w:val="Heading3"/>
        <w:rPr>
          <w:lang w:val="en-GB"/>
        </w:rPr>
      </w:pPr>
      <w:bookmarkStart w:id="9" w:name="_Toc54022741"/>
      <w:r w:rsidRPr="000F53C8">
        <w:rPr>
          <w:lang w:val="en-GB"/>
        </w:rPr>
        <w:t>Guinea-Bissau</w:t>
      </w:r>
      <w:bookmarkEnd w:id="9"/>
    </w:p>
    <w:p w14:paraId="0BC944EB" w14:textId="77777777" w:rsidR="000C649E" w:rsidRPr="000F53C8" w:rsidRDefault="000C649E" w:rsidP="000C649E">
      <w:pPr>
        <w:pStyle w:val="Heading4"/>
        <w:rPr>
          <w:rStyle w:val="Heading3Char"/>
          <w:b w:val="0"/>
          <w:color w:val="2E74B5" w:themeColor="accent1" w:themeShade="BF"/>
          <w:sz w:val="26"/>
          <w:lang w:val="en-GB"/>
        </w:rPr>
      </w:pPr>
      <w:bookmarkStart w:id="10" w:name="_Toc54022742"/>
      <w:r w:rsidRPr="000F53C8">
        <w:rPr>
          <w:rStyle w:val="Heading3Char"/>
          <w:b w:val="0"/>
          <w:color w:val="2E74B5" w:themeColor="accent1" w:themeShade="BF"/>
          <w:sz w:val="26"/>
          <w:lang w:val="en-GB"/>
        </w:rPr>
        <w:t>General overview of groundwater use and institutional setting</w:t>
      </w:r>
      <w:bookmarkEnd w:id="10"/>
    </w:p>
    <w:p w14:paraId="4365ABA9" w14:textId="77777777" w:rsidR="000C649E" w:rsidRPr="000F53C8" w:rsidRDefault="000C649E" w:rsidP="000C649E">
      <w:pPr>
        <w:rPr>
          <w:lang w:val="en-GB"/>
        </w:rPr>
      </w:pPr>
      <w:r w:rsidRPr="000F53C8">
        <w:rPr>
          <w:lang w:val="en-GB"/>
        </w:rPr>
        <w:t>Groundwater is mostly used for drinking water supply. Households that are not connected to a public water supply network rely on communal boreholes (equipped with hand or electric pumps) or improved dug wells. Groundwater is also used for horticulture during the dry season.</w:t>
      </w:r>
    </w:p>
    <w:p w14:paraId="30D4358F" w14:textId="1A27D6AB" w:rsidR="000C649E" w:rsidRPr="000F53C8" w:rsidRDefault="000C649E" w:rsidP="000C649E">
      <w:pPr>
        <w:rPr>
          <w:lang w:val="en-GB"/>
        </w:rPr>
      </w:pPr>
      <w:r w:rsidRPr="000F53C8">
        <w:rPr>
          <w:lang w:val="en-GB"/>
        </w:rPr>
        <w:t>The General Direct</w:t>
      </w:r>
      <w:r w:rsidR="00820C78">
        <w:rPr>
          <w:lang w:val="en-GB"/>
        </w:rPr>
        <w:t>orate</w:t>
      </w:r>
      <w:r w:rsidRPr="000F53C8">
        <w:rPr>
          <w:lang w:val="en-GB"/>
        </w:rPr>
        <w:t xml:space="preserve"> of Water Resources (Direção Geral de Recursos Hídricos, DGRH) is responsible for water resources management, including groundwater. DGRH is represented at the local level by regional offices (Delegacias Regionais de Recursos Naturais, DRRH). These regional offices have no administrative or financial autonomy, they are piloted by DGRH. Only 2 or 3 DRRH are said to be operational. DGRH suffers from an overall lack of budget, staff and equipment. The National Laboratory of Public Health (Laboratório Nacional de Saúde Pública), within the Ministry of Public Health (Ministério de Saúde Pública, MSP), is responsible for the control of water quality and the issuance of water quality certificates for boreholes. After the implementation of the Water Policy in 1992, three governmental structures were created: the National Council of Water (Concelho Nacional das Águas, CNA), supported by the Inter-ministerial Committee of Water (Comité Interministerial das Águas, CIMA), itself supported by the Technical Committee of Water (Comité Técnico das Aguas, CTA). However, none of these institutions appears to be active. In general, the water sector in Guinea-Bissau is impaired by political instability, with a civil war in 1998 and consecutive putsches in 2004, 2008 and 2012.</w:t>
      </w:r>
    </w:p>
    <w:p w14:paraId="58177083" w14:textId="77777777" w:rsidR="000C649E" w:rsidRPr="000F53C8" w:rsidRDefault="000C649E" w:rsidP="000C649E">
      <w:pPr>
        <w:rPr>
          <w:lang w:val="en-GB"/>
        </w:rPr>
      </w:pPr>
      <w:r w:rsidRPr="000F53C8">
        <w:rPr>
          <w:lang w:val="en-GB"/>
        </w:rPr>
        <w:t xml:space="preserve">The public water and electricity company (Electricidade e Aguas da Guine-Bissau, EAGB) is in charge of public water supply but in practice it operates only in the city of Bissau, where it manages 16 production boreholes tapping the Maastrichtian aquifer. The other cities are operated by other companies or associations (e.g. ASPAAB in Bafata, ACDB in Bambadinca, WEDE BONTCHE in Mansoa, ENAFUR in Gabu). The management of public water supply boreholes is poor. In Bissau for instance, boreholes are in the middle of the city, without protection zones and sometimes without a fence. </w:t>
      </w:r>
    </w:p>
    <w:p w14:paraId="164428F6" w14:textId="77777777" w:rsidR="000C649E" w:rsidRPr="000F53C8" w:rsidRDefault="000C649E" w:rsidP="000C649E">
      <w:pPr>
        <w:rPr>
          <w:lang w:val="en-GB"/>
        </w:rPr>
      </w:pPr>
      <w:r w:rsidRPr="000F53C8">
        <w:rPr>
          <w:lang w:val="en-GB"/>
        </w:rPr>
        <w:t>There is also a public company in charge of hydraulic works (SERVIAGUAS), including hydrogeological studies, specifications and supervision of borehole construction.</w:t>
      </w:r>
    </w:p>
    <w:p w14:paraId="3C44525B" w14:textId="77777777" w:rsidR="000C649E" w:rsidRPr="000F53C8" w:rsidRDefault="000C649E" w:rsidP="000C649E">
      <w:pPr>
        <w:pStyle w:val="Heading4"/>
        <w:rPr>
          <w:lang w:val="en-GB"/>
        </w:rPr>
      </w:pPr>
      <w:bookmarkStart w:id="11" w:name="_Toc54022743"/>
      <w:r w:rsidRPr="000F53C8">
        <w:rPr>
          <w:lang w:val="en-GB"/>
        </w:rPr>
        <w:t>Collection and management of borehole data</w:t>
      </w:r>
      <w:bookmarkEnd w:id="11"/>
    </w:p>
    <w:p w14:paraId="2418372A" w14:textId="199241CF" w:rsidR="000C649E" w:rsidRPr="000F53C8" w:rsidRDefault="000C649E" w:rsidP="000C649E">
      <w:pPr>
        <w:rPr>
          <w:lang w:val="en-GB"/>
        </w:rPr>
      </w:pPr>
      <w:r w:rsidRPr="000F53C8">
        <w:rPr>
          <w:lang w:val="en-GB"/>
        </w:rPr>
        <w:t>In principle, borehole drilling projects need to be submitted to DGRH in order to be authorized and licensed. However, it doesn’t happen systematically and DGRH has no means to enforce the law. In consequence, the inventory of wells is fragmen</w:t>
      </w:r>
      <w:r w:rsidR="00820C78">
        <w:rPr>
          <w:lang w:val="en-GB"/>
        </w:rPr>
        <w:t>ted</w:t>
      </w:r>
      <w:r w:rsidRPr="000F53C8">
        <w:rPr>
          <w:lang w:val="en-GB"/>
        </w:rPr>
        <w:t>. An inventory of 2225 boreholes collected in 2009 is stored in an Access database at DGRH. The data were made accessible in an ArcGIS database but the licenses to run ArcGIS have expired several years ago. DGRH used a software called ACTIF to store and interpret borehole data (drilling and testing), but this software is not compatible with Windows and therefore it is not in use anymore. Drillers, consultants, NGOs or water supply companies might have borehole data in their archives, with some stratigraphy, geophysical or pumping test data. In principle, a water sample is taken and sent to the National Laboratory of Public Health when a new borehole is drilled.</w:t>
      </w:r>
    </w:p>
    <w:p w14:paraId="0713286D" w14:textId="77777777" w:rsidR="000C649E" w:rsidRPr="000F53C8" w:rsidRDefault="000C649E" w:rsidP="000C649E">
      <w:pPr>
        <w:rPr>
          <w:lang w:val="en-GB"/>
        </w:rPr>
      </w:pPr>
      <w:r w:rsidRPr="000F53C8">
        <w:rPr>
          <w:lang w:val="en-GB"/>
        </w:rPr>
        <w:lastRenderedPageBreak/>
        <w:t>Recently, DGRH has received the support of UNICEF to make a survey of water points in the country, including groundwater points (boreholes, hand pumps and improved dug wells). As part of the activities with UNICEF, the following datasets have been compiled:</w:t>
      </w:r>
    </w:p>
    <w:p w14:paraId="7AD73F99" w14:textId="77777777" w:rsidR="000C649E" w:rsidRPr="000F53C8" w:rsidRDefault="000C649E" w:rsidP="000C649E">
      <w:pPr>
        <w:pStyle w:val="ListParagraph"/>
        <w:numPr>
          <w:ilvl w:val="0"/>
          <w:numId w:val="17"/>
        </w:numPr>
        <w:spacing w:before="0" w:after="0"/>
        <w:ind w:left="284"/>
        <w:contextualSpacing w:val="0"/>
        <w:rPr>
          <w:lang w:val="en-GB"/>
        </w:rPr>
      </w:pPr>
      <w:r w:rsidRPr="000F53C8">
        <w:rPr>
          <w:lang w:val="en-GB"/>
        </w:rPr>
        <w:t xml:space="preserve">Borehole data: 855 borehole data have been collected from drilling reports of boreholes supervised by DGRH. The dataset contains geographic coordinates, DGRH code, borehole/design data, drilling data, pumping test data, physical-chemical data, borehole log picture, etc.  </w:t>
      </w:r>
    </w:p>
    <w:p w14:paraId="2EAFC0C0" w14:textId="77777777" w:rsidR="000C649E" w:rsidRPr="000F53C8" w:rsidRDefault="000C649E" w:rsidP="000C649E">
      <w:pPr>
        <w:pStyle w:val="ListParagraph"/>
        <w:numPr>
          <w:ilvl w:val="0"/>
          <w:numId w:val="17"/>
        </w:numPr>
        <w:spacing w:before="0" w:after="0"/>
        <w:ind w:left="284"/>
        <w:contextualSpacing w:val="0"/>
        <w:rPr>
          <w:lang w:val="en-GB"/>
        </w:rPr>
      </w:pPr>
      <w:r w:rsidRPr="000F53C8">
        <w:rPr>
          <w:lang w:val="en-GB"/>
        </w:rPr>
        <w:t>Groundwater quality: 744 water points were sampled for groundwater quality measurements, including pH, temperature, turbidity, electrical conductivity, iron, nitrates, E. coli, total coliforms.</w:t>
      </w:r>
    </w:p>
    <w:p w14:paraId="27825C72" w14:textId="1D74313C" w:rsidR="000C649E" w:rsidRPr="000F53C8" w:rsidRDefault="000C649E" w:rsidP="000C649E">
      <w:pPr>
        <w:pStyle w:val="ListParagraph"/>
        <w:numPr>
          <w:ilvl w:val="0"/>
          <w:numId w:val="17"/>
        </w:numPr>
        <w:spacing w:before="0" w:after="0"/>
        <w:ind w:left="284"/>
        <w:contextualSpacing w:val="0"/>
        <w:rPr>
          <w:lang w:val="en-GB"/>
        </w:rPr>
      </w:pPr>
      <w:r w:rsidRPr="000F53C8">
        <w:rPr>
          <w:lang w:val="en-GB"/>
        </w:rPr>
        <w:t>Water points: This is an inventory of 717 groundwater points, including geographic coordinates, typology of water point, type of hand pump/brand, functionality/status, mechanical problems, water depth, total depth, state of conservation of the water point (fence, apron, drainage from apron, wall, superstructure</w:t>
      </w:r>
      <w:r w:rsidR="00820C78">
        <w:rPr>
          <w:lang w:val="en-GB"/>
        </w:rPr>
        <w:t xml:space="preserve">, photo, </w:t>
      </w:r>
      <w:r w:rsidRPr="000F53C8">
        <w:rPr>
          <w:lang w:val="en-GB"/>
        </w:rPr>
        <w:t>etc.)</w:t>
      </w:r>
      <w:r w:rsidR="00820C78">
        <w:rPr>
          <w:lang w:val="en-GB"/>
        </w:rPr>
        <w:t>.</w:t>
      </w:r>
    </w:p>
    <w:p w14:paraId="4F213AF5" w14:textId="77777777" w:rsidR="000C649E" w:rsidRPr="000F53C8" w:rsidRDefault="000C649E" w:rsidP="000C649E">
      <w:pPr>
        <w:rPr>
          <w:lang w:val="en-GB"/>
        </w:rPr>
      </w:pPr>
      <w:r w:rsidRPr="000F53C8">
        <w:rPr>
          <w:lang w:val="en-GB"/>
        </w:rPr>
        <w:t>Groundwater quality and water point data were collected with the mWater app and are therefore available in the mWater Portal</w:t>
      </w:r>
      <w:r w:rsidRPr="000F53C8">
        <w:rPr>
          <w:rStyle w:val="FootnoteReference"/>
          <w:lang w:val="en-GB"/>
        </w:rPr>
        <w:footnoteReference w:id="1"/>
      </w:r>
      <w:r w:rsidRPr="000F53C8">
        <w:rPr>
          <w:lang w:val="en-GB"/>
        </w:rPr>
        <w:t>. The data collection was made by trained local associations, under the supervision of DGRH and UNICEF.</w:t>
      </w:r>
    </w:p>
    <w:p w14:paraId="665D7BC1" w14:textId="77777777" w:rsidR="000C649E" w:rsidRPr="000F53C8" w:rsidRDefault="000C649E" w:rsidP="000C649E">
      <w:pPr>
        <w:pStyle w:val="Heading4"/>
        <w:rPr>
          <w:lang w:val="en-GB"/>
        </w:rPr>
      </w:pPr>
      <w:bookmarkStart w:id="12" w:name="_Toc54022744"/>
      <w:r w:rsidRPr="000F53C8">
        <w:rPr>
          <w:lang w:val="en-GB"/>
        </w:rPr>
        <w:t>Groundwater monitoring</w:t>
      </w:r>
      <w:bookmarkEnd w:id="12"/>
    </w:p>
    <w:p w14:paraId="2B618B82" w14:textId="77777777" w:rsidR="000C649E" w:rsidRPr="000F53C8" w:rsidRDefault="000C649E" w:rsidP="000C649E">
      <w:pPr>
        <w:rPr>
          <w:lang w:val="en-GB"/>
        </w:rPr>
      </w:pPr>
      <w:r w:rsidRPr="000F53C8">
        <w:rPr>
          <w:lang w:val="en-GB"/>
        </w:rPr>
        <w:t>A piezometric network was developed, amounting to 90 - 100 observation boreholes, most of which were drilled and installed in the nineties. 44 of these boreholes were in the region of Bissau. However, the network was abandoned after the civil war in 1998. Many boreholes have been turned into production boreholes, while some have been damaged or are not accessible anymore because of the vegetation. In their Annual Work Plan, DGRH and UNICEF had planned to assess the state of the observation boreholes in Bissau in 2020, but this activity has not been carried out yet. It is not clear if DGRH has any water level meter left.</w:t>
      </w:r>
    </w:p>
    <w:p w14:paraId="5831BF62" w14:textId="77777777" w:rsidR="000C649E" w:rsidRPr="000F53C8" w:rsidRDefault="000C649E" w:rsidP="000C649E">
      <w:pPr>
        <w:rPr>
          <w:lang w:val="en-GB"/>
        </w:rPr>
      </w:pPr>
      <w:r w:rsidRPr="000F53C8">
        <w:rPr>
          <w:lang w:val="en-GB"/>
        </w:rPr>
        <w:t>Some water supply companies might have groundwater monitoring data (including abstraction rates) measured in the production boreholes under their control.</w:t>
      </w:r>
    </w:p>
    <w:p w14:paraId="0B30BC77" w14:textId="77777777" w:rsidR="000C649E" w:rsidRPr="000F53C8" w:rsidRDefault="000C649E" w:rsidP="000C649E">
      <w:pPr>
        <w:pStyle w:val="Heading3"/>
        <w:rPr>
          <w:lang w:val="en-GB"/>
        </w:rPr>
      </w:pPr>
      <w:bookmarkStart w:id="13" w:name="_Toc54022745"/>
      <w:r w:rsidRPr="000F53C8">
        <w:rPr>
          <w:lang w:val="en-GB"/>
        </w:rPr>
        <w:t>Mauritania</w:t>
      </w:r>
      <w:bookmarkEnd w:id="13"/>
    </w:p>
    <w:p w14:paraId="67BAD022" w14:textId="77777777" w:rsidR="000C649E" w:rsidRPr="000F53C8" w:rsidRDefault="000C649E" w:rsidP="000C649E">
      <w:pPr>
        <w:pStyle w:val="Heading4"/>
        <w:rPr>
          <w:lang w:val="en-GB"/>
        </w:rPr>
      </w:pPr>
      <w:bookmarkStart w:id="14" w:name="_Toc54022746"/>
      <w:r w:rsidRPr="000F53C8">
        <w:rPr>
          <w:rStyle w:val="Heading3Char"/>
          <w:b w:val="0"/>
          <w:color w:val="2E74B5" w:themeColor="accent1" w:themeShade="BF"/>
          <w:sz w:val="26"/>
          <w:lang w:val="en-GB"/>
        </w:rPr>
        <w:t>General overview of groundwater use and institutional setting</w:t>
      </w:r>
      <w:bookmarkEnd w:id="14"/>
    </w:p>
    <w:p w14:paraId="04CF9D52" w14:textId="77777777" w:rsidR="000C649E" w:rsidRPr="000F53C8" w:rsidRDefault="000C649E" w:rsidP="000C649E">
      <w:pPr>
        <w:rPr>
          <w:lang w:val="en-GB"/>
        </w:rPr>
      </w:pPr>
      <w:r w:rsidRPr="000F53C8">
        <w:rPr>
          <w:lang w:val="en-GB"/>
        </w:rPr>
        <w:t xml:space="preserve">Groundwater is the main source of drinking water supply in Mauritania, excepted in Nouakchott, where water from the Senegal river is delivered to meet the high demand, and Rosso, located on the bank of the Senegal river. Groundwater supports also livestock during the dry season and various industries (e.g. mining industry, bottled water). </w:t>
      </w:r>
    </w:p>
    <w:p w14:paraId="5700AEC4" w14:textId="77777777" w:rsidR="000C649E" w:rsidRPr="000F53C8" w:rsidRDefault="000C649E" w:rsidP="000C649E">
      <w:pPr>
        <w:rPr>
          <w:lang w:val="en-GB"/>
        </w:rPr>
      </w:pPr>
      <w:r w:rsidRPr="000F53C8">
        <w:rPr>
          <w:lang w:val="en-GB"/>
        </w:rPr>
        <w:t>The National Centre of Water Resources (Centre National des Ressources en Eau, CNRE), under the authority of the Ministry of Water and Sanitation, is responsible for the implementation of the National Water Policy. Although it is responsible for both surface water and groundwater management, it deals exclusively with groundwater. It is a national agency, but it works closely with regional offices of water and sanitation (Directions Régionales de l’Hydraulique et de l’Assainissement, DRHA), like in the Trarza and Brakna regions (in the SMAB), where the main aquifers are located. The CNRE and the regional DRHA are said to lack capacity to fulfil their mission.</w:t>
      </w:r>
    </w:p>
    <w:p w14:paraId="503D77F5" w14:textId="77777777" w:rsidR="000C649E" w:rsidRPr="000F53C8" w:rsidRDefault="000C649E" w:rsidP="000C649E">
      <w:pPr>
        <w:rPr>
          <w:lang w:val="en-GB"/>
        </w:rPr>
      </w:pPr>
      <w:r w:rsidRPr="000F53C8">
        <w:rPr>
          <w:lang w:val="en-GB"/>
        </w:rPr>
        <w:t>Next to CNRE, the following institutions also play a role in groundwater management:</w:t>
      </w:r>
    </w:p>
    <w:p w14:paraId="612FDB47" w14:textId="77777777" w:rsidR="000C649E" w:rsidRPr="000F53C8" w:rsidRDefault="000C649E" w:rsidP="000C649E">
      <w:pPr>
        <w:pStyle w:val="ListParagraph"/>
        <w:numPr>
          <w:ilvl w:val="0"/>
          <w:numId w:val="18"/>
        </w:numPr>
        <w:spacing w:before="0" w:after="0"/>
        <w:contextualSpacing w:val="0"/>
        <w:rPr>
          <w:lang w:val="en-GB"/>
        </w:rPr>
      </w:pPr>
      <w:r w:rsidRPr="000F53C8">
        <w:rPr>
          <w:lang w:val="en-GB"/>
        </w:rPr>
        <w:lastRenderedPageBreak/>
        <w:t xml:space="preserve">The National Water Supply Company (Societe Nationale de Distribution d’Eau, SNDE) manages several wellfields in the country and maintains local monitoring networks to control the performance and the protection of these wellfields. </w:t>
      </w:r>
    </w:p>
    <w:p w14:paraId="22827A73" w14:textId="77777777" w:rsidR="000C649E" w:rsidRPr="000F53C8" w:rsidRDefault="000C649E" w:rsidP="000C649E">
      <w:pPr>
        <w:pStyle w:val="ListParagraph"/>
        <w:numPr>
          <w:ilvl w:val="0"/>
          <w:numId w:val="18"/>
        </w:numPr>
        <w:spacing w:before="0" w:after="0"/>
        <w:contextualSpacing w:val="0"/>
        <w:rPr>
          <w:lang w:val="en-GB"/>
        </w:rPr>
      </w:pPr>
      <w:r w:rsidRPr="000F53C8">
        <w:rPr>
          <w:lang w:val="en-GB"/>
        </w:rPr>
        <w:t xml:space="preserve">The National Office for Rural Water Supply (Office National de Service de l’Eau en Milieu Rural) is in charge of rural water supply (exploration, drilling and maintenance of wells). </w:t>
      </w:r>
    </w:p>
    <w:p w14:paraId="02A043BB" w14:textId="77777777" w:rsidR="000C649E" w:rsidRPr="000F53C8" w:rsidRDefault="000C649E" w:rsidP="000C649E">
      <w:pPr>
        <w:pStyle w:val="ListParagraph"/>
        <w:numPr>
          <w:ilvl w:val="0"/>
          <w:numId w:val="18"/>
        </w:numPr>
        <w:spacing w:before="0" w:after="0"/>
        <w:contextualSpacing w:val="0"/>
        <w:rPr>
          <w:lang w:val="en-GB"/>
        </w:rPr>
      </w:pPr>
      <w:r w:rsidRPr="000F53C8">
        <w:rPr>
          <w:lang w:val="en-GB"/>
        </w:rPr>
        <w:t>The National Company of Boreholes and Wells (Société Nationale des Forages et Puits, SNFP) is a company operating under the umbrella of the Ministry of Water and Sanitation.</w:t>
      </w:r>
    </w:p>
    <w:p w14:paraId="59530804" w14:textId="77777777" w:rsidR="000C649E" w:rsidRPr="000F53C8" w:rsidRDefault="000C649E" w:rsidP="000C649E">
      <w:pPr>
        <w:rPr>
          <w:lang w:val="en-GB"/>
        </w:rPr>
      </w:pPr>
      <w:r w:rsidRPr="000F53C8">
        <w:rPr>
          <w:lang w:val="en-GB"/>
        </w:rPr>
        <w:t>Many NGOs operate in Mauritania to improve the access to safe drinking water, like TENMIYA, which supported the drilling of boreholes and contributed to the development of the monitoring network.</w:t>
      </w:r>
    </w:p>
    <w:p w14:paraId="57B2B790" w14:textId="77777777" w:rsidR="000C649E" w:rsidRPr="000F53C8" w:rsidRDefault="000C649E" w:rsidP="000C649E">
      <w:pPr>
        <w:rPr>
          <w:lang w:val="en-GB"/>
        </w:rPr>
      </w:pPr>
      <w:r w:rsidRPr="000F53C8">
        <w:rPr>
          <w:lang w:val="en-GB"/>
        </w:rPr>
        <w:t>Groundwater management is ruled by the National Water Policy (Code de l’Eau) from 2005. The Policy is being revised. It is also not entirely enforced. In general, licenses are applied for when new boreholes are drilled, but fees are not paid. Only the mining industries comply with the law and pay the fees. There is an IWRM plan, but it has been applied only locally (e.g. Trarza, Brakna) and temporarily, as part of a UNDP project (when the project stopped, IWRM stopped). There isn’t any plan to implement the SDGs, although the CNRE will be given a leading role with the support of the WB.</w:t>
      </w:r>
    </w:p>
    <w:p w14:paraId="2DA455B1" w14:textId="77777777" w:rsidR="000C649E" w:rsidRPr="000F53C8" w:rsidRDefault="000C649E" w:rsidP="000C649E">
      <w:pPr>
        <w:pStyle w:val="Heading4"/>
        <w:rPr>
          <w:lang w:val="en-GB"/>
        </w:rPr>
      </w:pPr>
      <w:bookmarkStart w:id="15" w:name="_Toc54022747"/>
      <w:r w:rsidRPr="000F53C8">
        <w:rPr>
          <w:lang w:val="en-GB"/>
        </w:rPr>
        <w:t>Collection and management of borehole data</w:t>
      </w:r>
      <w:bookmarkEnd w:id="15"/>
    </w:p>
    <w:p w14:paraId="147834EE" w14:textId="77777777" w:rsidR="000C649E" w:rsidRPr="000F53C8" w:rsidRDefault="000C649E" w:rsidP="000C649E">
      <w:pPr>
        <w:rPr>
          <w:lang w:val="en-GB"/>
        </w:rPr>
      </w:pPr>
      <w:r w:rsidRPr="000F53C8">
        <w:rPr>
          <w:lang w:val="en-GB"/>
        </w:rPr>
        <w:t xml:space="preserve">All boreholes need to be licensed and registered in Mauritania. This doesn’t apply to hand-dug wells. However, not all private boreholes comply with the legislation. The amount of data collected and reported during the siting, drilling and testing of boreholes is variable. In general, public boreholes come with a larger amount of data than private boreholes. Borehole data are recorded in a centralized database at CNRE. The database is in Access 2003 and is stored in a server, so that it can be used by the local offices across the country. The database has more than 14,000 water points, although there are data gaps (i.e. missing or incomplete records). There is no backup of the data. The data are available for free upon request. </w:t>
      </w:r>
    </w:p>
    <w:p w14:paraId="43058AC3" w14:textId="77777777" w:rsidR="000C649E" w:rsidRPr="000F53C8" w:rsidRDefault="000C649E" w:rsidP="000C649E">
      <w:pPr>
        <w:pStyle w:val="Heading4"/>
        <w:rPr>
          <w:lang w:val="en-GB"/>
        </w:rPr>
      </w:pPr>
      <w:bookmarkStart w:id="16" w:name="_Toc54022748"/>
      <w:r w:rsidRPr="000F53C8">
        <w:rPr>
          <w:lang w:val="en-GB"/>
        </w:rPr>
        <w:t>Groundwater monitoring</w:t>
      </w:r>
      <w:bookmarkEnd w:id="16"/>
    </w:p>
    <w:p w14:paraId="46A9258B" w14:textId="77777777" w:rsidR="000C649E" w:rsidRPr="000F53C8" w:rsidRDefault="000C649E" w:rsidP="000C649E">
      <w:pPr>
        <w:rPr>
          <w:lang w:val="en-GB"/>
        </w:rPr>
      </w:pPr>
      <w:r w:rsidRPr="000F53C8">
        <w:rPr>
          <w:lang w:val="en-GB"/>
        </w:rPr>
        <w:t>Since 2000, groundwater monitoring is carried out by SNDE in the 14 wellfields it manages in the country, where measurements are taken every 3 or 4 months (according to the plan). The actual frequency of monitoring is highly variable, because it depends largely on external support from projects.</w:t>
      </w:r>
    </w:p>
    <w:p w14:paraId="62122301" w14:textId="77777777" w:rsidR="000C649E" w:rsidRPr="000F53C8" w:rsidRDefault="000C649E" w:rsidP="000C649E">
      <w:pPr>
        <w:rPr>
          <w:lang w:val="en-GB"/>
        </w:rPr>
      </w:pPr>
      <w:r w:rsidRPr="000F53C8">
        <w:rPr>
          <w:lang w:val="en-GB"/>
        </w:rPr>
        <w:t>It is said that long time series are available at the wellfield of Idi, which supplied the city of Nouakchott. The wellfields in Boulenoir and Benichab units are also relatively well monitored. IAEA is currently supporting the monitoring; hence data can be collected twice per year.  The wellfield in the Bennichab unit is equipped with automated data loggers supporting telemetry, but the telemetry is currently out of service. No information could be collected on the management of monitoring data (e.g. database, data sharing, interpretation). CNRE is also supposed to do groundwater monitoring in the country but it has insufficient staff and budget. In addition, the National Park of Diawling (part of the Ministry of Environment), near the mouth of the Senegal river, operates a monitoring network of 16 observation boreholes since 2015. However, the data are not shared.</w:t>
      </w:r>
    </w:p>
    <w:p w14:paraId="6CD5D193" w14:textId="0D9196DA" w:rsidR="000C649E" w:rsidRPr="000F53C8" w:rsidRDefault="000C649E" w:rsidP="000C649E">
      <w:pPr>
        <w:rPr>
          <w:lang w:val="en-GB"/>
        </w:rPr>
      </w:pPr>
      <w:r w:rsidRPr="000F53C8">
        <w:rPr>
          <w:lang w:val="en-GB"/>
        </w:rPr>
        <w:t>There is little monitoring of groundwater quality at the well</w:t>
      </w:r>
      <w:r w:rsidR="00820C78">
        <w:rPr>
          <w:lang w:val="en-GB"/>
        </w:rPr>
        <w:t>-</w:t>
      </w:r>
      <w:r w:rsidRPr="000F53C8">
        <w:rPr>
          <w:lang w:val="en-GB"/>
        </w:rPr>
        <w:t xml:space="preserve">fields. The SNDE has a lab to analyse the samples. CNRE is supposed to centralize the data but this is not happening. </w:t>
      </w:r>
    </w:p>
    <w:p w14:paraId="61D5EA0A" w14:textId="65DB9DA5" w:rsidR="000C649E" w:rsidRPr="000F53C8" w:rsidRDefault="000C649E" w:rsidP="000C649E">
      <w:pPr>
        <w:rPr>
          <w:lang w:val="en-GB"/>
        </w:rPr>
      </w:pPr>
      <w:r w:rsidRPr="000F53C8">
        <w:rPr>
          <w:lang w:val="en-GB"/>
        </w:rPr>
        <w:t>The production boreholes of SNDE are equipped with flowmeters. Abstraction data are recorded in Excel spreadsheets.</w:t>
      </w:r>
    </w:p>
    <w:p w14:paraId="353BB6DB" w14:textId="4EE2C952" w:rsidR="006B609F" w:rsidRPr="000F53C8" w:rsidRDefault="006B609F" w:rsidP="000C649E">
      <w:pPr>
        <w:rPr>
          <w:lang w:val="en-GB"/>
        </w:rPr>
      </w:pPr>
    </w:p>
    <w:p w14:paraId="6D523FDA" w14:textId="07689213" w:rsidR="006B609F" w:rsidRPr="000F53C8" w:rsidRDefault="006B609F" w:rsidP="000C649E">
      <w:pPr>
        <w:rPr>
          <w:lang w:val="en-GB"/>
        </w:rPr>
      </w:pPr>
    </w:p>
    <w:p w14:paraId="51B88A64" w14:textId="77777777" w:rsidR="006B609F" w:rsidRPr="000F53C8" w:rsidRDefault="006B609F" w:rsidP="000C649E">
      <w:pPr>
        <w:rPr>
          <w:lang w:val="en-GB"/>
        </w:rPr>
      </w:pPr>
    </w:p>
    <w:p w14:paraId="6F5B8B6A" w14:textId="77777777" w:rsidR="000C649E" w:rsidRPr="000F53C8" w:rsidRDefault="000C649E" w:rsidP="000C649E">
      <w:pPr>
        <w:pStyle w:val="Heading3"/>
        <w:rPr>
          <w:lang w:val="en-GB"/>
        </w:rPr>
      </w:pPr>
      <w:bookmarkStart w:id="17" w:name="_Toc54022749"/>
      <w:r w:rsidRPr="000F53C8">
        <w:rPr>
          <w:lang w:val="en-GB"/>
        </w:rPr>
        <w:t>Senegal</w:t>
      </w:r>
      <w:bookmarkEnd w:id="17"/>
    </w:p>
    <w:p w14:paraId="26005546" w14:textId="77777777" w:rsidR="000C649E" w:rsidRPr="000F53C8" w:rsidRDefault="000C649E" w:rsidP="000C649E">
      <w:pPr>
        <w:pStyle w:val="Heading4"/>
        <w:rPr>
          <w:lang w:val="en-GB"/>
        </w:rPr>
      </w:pPr>
      <w:bookmarkStart w:id="18" w:name="_Toc54022750"/>
      <w:r w:rsidRPr="000F53C8">
        <w:rPr>
          <w:lang w:val="en-GB"/>
        </w:rPr>
        <w:t>General overview of groundwater use and institutional setting</w:t>
      </w:r>
      <w:bookmarkEnd w:id="18"/>
    </w:p>
    <w:p w14:paraId="75D42A54" w14:textId="0CA17FDA" w:rsidR="000C649E" w:rsidRPr="000F53C8" w:rsidRDefault="000C649E" w:rsidP="000C649E">
      <w:pPr>
        <w:rPr>
          <w:lang w:val="en-GB"/>
        </w:rPr>
      </w:pPr>
      <w:r w:rsidRPr="000F53C8">
        <w:rPr>
          <w:lang w:val="en-GB"/>
        </w:rPr>
        <w:t xml:space="preserve">The sectorial distribution of groundwater use in Senegal is represented in </w:t>
      </w:r>
      <w:r w:rsidRPr="000F53C8">
        <w:rPr>
          <w:lang w:val="en-GB"/>
        </w:rPr>
        <w:fldChar w:fldCharType="begin"/>
      </w:r>
      <w:r w:rsidRPr="000F53C8">
        <w:rPr>
          <w:lang w:val="en-GB"/>
        </w:rPr>
        <w:instrText xml:space="preserve"> REF _Ref50991161 \h </w:instrText>
      </w:r>
      <w:r w:rsidRPr="000F53C8">
        <w:rPr>
          <w:lang w:val="en-GB"/>
        </w:rPr>
      </w:r>
      <w:r w:rsidRPr="000F53C8">
        <w:rPr>
          <w:lang w:val="en-GB"/>
        </w:rPr>
        <w:fldChar w:fldCharType="separate"/>
      </w:r>
      <w:r w:rsidRPr="000F53C8">
        <w:rPr>
          <w:lang w:val="en-GB"/>
        </w:rPr>
        <w:t>Figure 2</w:t>
      </w:r>
      <w:r w:rsidRPr="000F53C8">
        <w:rPr>
          <w:lang w:val="en-GB"/>
        </w:rPr>
        <w:fldChar w:fldCharType="end"/>
      </w:r>
      <w:r w:rsidRPr="000F53C8">
        <w:rPr>
          <w:lang w:val="en-GB"/>
        </w:rPr>
        <w:t>. Drinking water supply is the main use.</w:t>
      </w:r>
    </w:p>
    <w:p w14:paraId="0E8AC8C2" w14:textId="77777777" w:rsidR="000C649E" w:rsidRPr="000F53C8" w:rsidRDefault="000C649E" w:rsidP="000C649E">
      <w:pPr>
        <w:keepNext/>
        <w:rPr>
          <w:lang w:val="en-GB"/>
        </w:rPr>
      </w:pPr>
      <w:r w:rsidRPr="000F53C8">
        <w:rPr>
          <w:noProof/>
          <w:lang w:eastAsia="fr-CH"/>
        </w:rPr>
        <w:drawing>
          <wp:anchor distT="0" distB="0" distL="114300" distR="114300" simplePos="0" relativeHeight="251665408" behindDoc="1" locked="0" layoutInCell="1" allowOverlap="1" wp14:anchorId="24353094" wp14:editId="279556B7">
            <wp:simplePos x="0" y="0"/>
            <wp:positionH relativeFrom="column">
              <wp:posOffset>0</wp:posOffset>
            </wp:positionH>
            <wp:positionV relativeFrom="paragraph">
              <wp:posOffset>1905</wp:posOffset>
            </wp:positionV>
            <wp:extent cx="4886325" cy="1809750"/>
            <wp:effectExtent l="0" t="0" r="0" b="0"/>
            <wp:wrapTight wrapText="bothSides">
              <wp:wrapPolygon edited="0">
                <wp:start x="0" y="0"/>
                <wp:lineTo x="0" y="21373"/>
                <wp:lineTo x="21474" y="21373"/>
                <wp:lineTo x="21474"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7D446FF9" w14:textId="72250D86" w:rsidR="000C649E" w:rsidRPr="000F53C8" w:rsidRDefault="000C649E" w:rsidP="000C649E">
      <w:pPr>
        <w:pStyle w:val="Caption"/>
        <w:rPr>
          <w:lang w:val="en-GB"/>
        </w:rPr>
      </w:pPr>
      <w:bookmarkStart w:id="19" w:name="_Ref50991161"/>
      <w:r w:rsidRPr="000F53C8">
        <w:rPr>
          <w:lang w:val="en-GB"/>
        </w:rPr>
        <w:t xml:space="preserve">Figure </w:t>
      </w:r>
      <w:r w:rsidRPr="000F53C8">
        <w:rPr>
          <w:lang w:val="en-GB"/>
        </w:rPr>
        <w:fldChar w:fldCharType="begin"/>
      </w:r>
      <w:r w:rsidRPr="000F53C8">
        <w:rPr>
          <w:lang w:val="en-GB"/>
        </w:rPr>
        <w:instrText xml:space="preserve"> STYLEREF 1 \s </w:instrText>
      </w:r>
      <w:r w:rsidRPr="000F53C8">
        <w:rPr>
          <w:lang w:val="en-GB"/>
        </w:rPr>
        <w:fldChar w:fldCharType="separate"/>
      </w:r>
      <w:r w:rsidRPr="000F53C8">
        <w:rPr>
          <w:lang w:val="en-GB"/>
        </w:rPr>
        <w:t>2</w:t>
      </w:r>
      <w:r w:rsidRPr="000F53C8">
        <w:rPr>
          <w:lang w:val="en-GB"/>
        </w:rPr>
        <w:fldChar w:fldCharType="end"/>
      </w:r>
      <w:bookmarkEnd w:id="19"/>
      <w:r w:rsidRPr="000F53C8">
        <w:rPr>
          <w:lang w:val="en-GB"/>
        </w:rPr>
        <w:t xml:space="preserve"> Distribution of groundwater withdrawals per sector in Senegal (in percentage of total groundwater withdrawals)</w:t>
      </w:r>
      <w:r w:rsidRPr="000F53C8">
        <w:rPr>
          <w:rStyle w:val="FootnoteReference"/>
          <w:lang w:val="en-GB"/>
        </w:rPr>
        <w:footnoteReference w:id="2"/>
      </w:r>
      <w:r w:rsidRPr="000F53C8">
        <w:rPr>
          <w:lang w:val="en-GB"/>
        </w:rPr>
        <w:t>.</w:t>
      </w:r>
    </w:p>
    <w:p w14:paraId="458897D2" w14:textId="77777777" w:rsidR="000C649E" w:rsidRPr="000F53C8" w:rsidRDefault="000C649E" w:rsidP="000C649E">
      <w:pPr>
        <w:rPr>
          <w:lang w:val="en-GB"/>
        </w:rPr>
      </w:pPr>
    </w:p>
    <w:p w14:paraId="59A7635C" w14:textId="77777777" w:rsidR="00033040" w:rsidRPr="000F53C8" w:rsidRDefault="00033040" w:rsidP="00033040">
      <w:pPr>
        <w:rPr>
          <w:lang w:val="en-GB"/>
        </w:rPr>
      </w:pPr>
    </w:p>
    <w:p w14:paraId="627E33FD" w14:textId="5EB3418A" w:rsidR="00033040" w:rsidRPr="000F53C8" w:rsidRDefault="00033040" w:rsidP="00033040">
      <w:pPr>
        <w:rPr>
          <w:lang w:val="en-GB" w:eastAsia="en-US"/>
        </w:rPr>
      </w:pPr>
    </w:p>
    <w:p w14:paraId="381BD540" w14:textId="568B1588" w:rsidR="000668BD" w:rsidRPr="002F6D03" w:rsidRDefault="000C649E" w:rsidP="005F559B">
      <w:pPr>
        <w:rPr>
          <w:b/>
          <w:bCs/>
          <w:lang w:val="en-GB"/>
        </w:rPr>
      </w:pPr>
      <w:r w:rsidRPr="000F53C8">
        <w:rPr>
          <w:lang w:val="en-GB"/>
        </w:rPr>
        <w:t>Water management falls under the responsibility of the Ministry of Water and Sanitation. Within the ministry, the Direct</w:t>
      </w:r>
      <w:r w:rsidR="00820C78">
        <w:rPr>
          <w:lang w:val="en-GB"/>
        </w:rPr>
        <w:t xml:space="preserve">orate </w:t>
      </w:r>
      <w:r w:rsidRPr="000F53C8">
        <w:rPr>
          <w:lang w:val="en-GB"/>
        </w:rPr>
        <w:t xml:space="preserve"> of Water Resources Management and Planning (Direction de Gestion et de Planification des Ressources en Eau, DGPRE) is responsible for water management, including groundwater management</w:t>
      </w:r>
      <w:r w:rsidRPr="000F53C8">
        <w:rPr>
          <w:rStyle w:val="FootnoteReference"/>
          <w:lang w:val="en-GB"/>
        </w:rPr>
        <w:footnoteReference w:id="3"/>
      </w:r>
      <w:r w:rsidRPr="000F53C8">
        <w:rPr>
          <w:lang w:val="en-GB"/>
        </w:rPr>
        <w:t>. Since 2018, the national Office of Lakes and Rivers (Office des Lacs et Cours d’eau, OLAC) is responsible for the management of surface water in Senegal, except the rivers covered by an international agreement (e.g. Senegal river). The predecessor of OLAC was OLAG (Office du Lac de Guiers), which was responsible for the Guiers Lake that supplies Dakar.</w:t>
      </w:r>
      <w:r w:rsidR="000668BD">
        <w:rPr>
          <w:lang w:val="en-GB"/>
        </w:rPr>
        <w:t xml:space="preserve"> </w:t>
      </w:r>
      <w:r w:rsidR="000668BD" w:rsidRPr="000668BD">
        <w:rPr>
          <w:lang w:val="en-GB"/>
        </w:rPr>
        <w:t xml:space="preserve">DGPRE manages groundwater and surface water </w:t>
      </w:r>
      <w:r w:rsidR="000668BD">
        <w:rPr>
          <w:lang w:val="en-GB"/>
        </w:rPr>
        <w:t>while</w:t>
      </w:r>
      <w:r w:rsidR="000668BD" w:rsidRPr="000668BD">
        <w:rPr>
          <w:lang w:val="en-GB"/>
        </w:rPr>
        <w:t xml:space="preserve"> </w:t>
      </w:r>
      <w:r w:rsidR="000668BD">
        <w:rPr>
          <w:lang w:val="en-GB"/>
        </w:rPr>
        <w:t>OCLA</w:t>
      </w:r>
      <w:r w:rsidR="000668BD" w:rsidRPr="000668BD">
        <w:rPr>
          <w:lang w:val="en-GB"/>
        </w:rPr>
        <w:t xml:space="preserve"> plans and develops inland rivers and lakes with an emphasis on development.</w:t>
      </w:r>
      <w:r w:rsidR="005F559B">
        <w:rPr>
          <w:lang w:val="en-GB"/>
        </w:rPr>
        <w:t xml:space="preserve"> </w:t>
      </w:r>
    </w:p>
    <w:p w14:paraId="714A4CF1" w14:textId="77777777" w:rsidR="000C649E" w:rsidRPr="000F53C8" w:rsidRDefault="000C649E" w:rsidP="000C649E">
      <w:pPr>
        <w:rPr>
          <w:lang w:val="en-GB"/>
        </w:rPr>
      </w:pPr>
      <w:r w:rsidRPr="000F53C8">
        <w:rPr>
          <w:lang w:val="en-GB"/>
        </w:rPr>
        <w:t>Other stakeholders in the water sector are:</w:t>
      </w:r>
    </w:p>
    <w:p w14:paraId="4A76B482" w14:textId="1E3ED84C" w:rsidR="000C649E" w:rsidRPr="000F53C8" w:rsidRDefault="000C649E" w:rsidP="000C649E">
      <w:pPr>
        <w:pStyle w:val="ListParagraph"/>
        <w:numPr>
          <w:ilvl w:val="0"/>
          <w:numId w:val="19"/>
        </w:numPr>
        <w:spacing w:before="0" w:after="0"/>
        <w:ind w:left="284"/>
        <w:contextualSpacing w:val="0"/>
        <w:rPr>
          <w:lang w:val="en-GB"/>
        </w:rPr>
      </w:pPr>
      <w:r w:rsidRPr="000F53C8">
        <w:rPr>
          <w:lang w:val="en-GB"/>
        </w:rPr>
        <w:t xml:space="preserve">The </w:t>
      </w:r>
      <w:r w:rsidR="00D70508">
        <w:rPr>
          <w:lang w:val="en-GB"/>
        </w:rPr>
        <w:t>N</w:t>
      </w:r>
      <w:r w:rsidRPr="000F53C8">
        <w:rPr>
          <w:lang w:val="en-GB"/>
        </w:rPr>
        <w:t xml:space="preserve">ational </w:t>
      </w:r>
      <w:r w:rsidR="00D70508">
        <w:rPr>
          <w:lang w:val="en-GB"/>
        </w:rPr>
        <w:t>W</w:t>
      </w:r>
      <w:r w:rsidRPr="000F53C8">
        <w:rPr>
          <w:lang w:val="en-GB"/>
        </w:rPr>
        <w:t xml:space="preserve">ater </w:t>
      </w:r>
      <w:r w:rsidR="00D70508">
        <w:rPr>
          <w:lang w:val="en-GB"/>
        </w:rPr>
        <w:t>C</w:t>
      </w:r>
      <w:r w:rsidRPr="000F53C8">
        <w:rPr>
          <w:lang w:val="en-GB"/>
        </w:rPr>
        <w:t>ompany SONES (Société Nationale des Eaux du Senegal) is in charge of urban water supply infrastructure, including monitoring networks around the wellfields.</w:t>
      </w:r>
    </w:p>
    <w:p w14:paraId="46F7BBEA" w14:textId="3290A3B2" w:rsidR="000C649E" w:rsidRPr="000F53C8" w:rsidRDefault="000C649E" w:rsidP="000C649E">
      <w:pPr>
        <w:pStyle w:val="ListParagraph"/>
        <w:numPr>
          <w:ilvl w:val="0"/>
          <w:numId w:val="19"/>
        </w:numPr>
        <w:spacing w:before="0" w:after="0"/>
        <w:ind w:left="284"/>
        <w:contextualSpacing w:val="0"/>
        <w:rPr>
          <w:lang w:val="en-GB"/>
        </w:rPr>
      </w:pPr>
      <w:r w:rsidRPr="000F53C8">
        <w:rPr>
          <w:lang w:val="en-GB"/>
        </w:rPr>
        <w:t xml:space="preserve">The urban water supply network is operated by a private company. In 2020, SEN’EAU (SUEZ group) </w:t>
      </w:r>
      <w:r w:rsidR="00820C78">
        <w:rPr>
          <w:lang w:val="en-GB"/>
        </w:rPr>
        <w:t>w</w:t>
      </w:r>
      <w:r w:rsidRPr="000F53C8">
        <w:rPr>
          <w:lang w:val="en-GB"/>
        </w:rPr>
        <w:t>as replaced La Senegalaise des Eaux.</w:t>
      </w:r>
    </w:p>
    <w:p w14:paraId="28F0CDEF" w14:textId="77777777" w:rsidR="000C649E" w:rsidRPr="000F53C8" w:rsidRDefault="000C649E" w:rsidP="000C649E">
      <w:pPr>
        <w:pStyle w:val="ListParagraph"/>
        <w:numPr>
          <w:ilvl w:val="0"/>
          <w:numId w:val="19"/>
        </w:numPr>
        <w:spacing w:before="0" w:after="0"/>
        <w:ind w:left="284"/>
        <w:contextualSpacing w:val="0"/>
        <w:rPr>
          <w:lang w:val="en-GB"/>
        </w:rPr>
      </w:pPr>
      <w:r w:rsidRPr="000F53C8">
        <w:rPr>
          <w:lang w:val="en-GB"/>
        </w:rPr>
        <w:t xml:space="preserve">The Office for Rural Boreholes (Office des Forages Ruraux, OFOR) is in charge of rural water supply infrastructure, including boreholes, wells and pipes but also drilling and construction material. </w:t>
      </w:r>
    </w:p>
    <w:p w14:paraId="39192011" w14:textId="77777777" w:rsidR="000C649E" w:rsidRPr="000F53C8" w:rsidRDefault="000C649E" w:rsidP="000C649E">
      <w:pPr>
        <w:pStyle w:val="ListParagraph"/>
        <w:numPr>
          <w:ilvl w:val="0"/>
          <w:numId w:val="19"/>
        </w:numPr>
        <w:spacing w:before="0" w:after="0"/>
        <w:ind w:left="284"/>
        <w:contextualSpacing w:val="0"/>
        <w:rPr>
          <w:lang w:val="en-GB"/>
        </w:rPr>
      </w:pPr>
      <w:r w:rsidRPr="000F53C8">
        <w:rPr>
          <w:lang w:val="en-GB"/>
        </w:rPr>
        <w:t>The Waterworks Division (Direction de l’Hydraulique, DH) supervises all water works carried out in the country. It has regional offices.</w:t>
      </w:r>
    </w:p>
    <w:p w14:paraId="13F008A4" w14:textId="77777777" w:rsidR="000C649E" w:rsidRPr="000F53C8" w:rsidRDefault="000C649E" w:rsidP="000C649E">
      <w:pPr>
        <w:pStyle w:val="ListParagraph"/>
        <w:numPr>
          <w:ilvl w:val="0"/>
          <w:numId w:val="19"/>
        </w:numPr>
        <w:spacing w:before="0" w:after="0"/>
        <w:ind w:left="284"/>
        <w:contextualSpacing w:val="0"/>
        <w:rPr>
          <w:rFonts w:cstheme="minorHAnsi"/>
          <w:lang w:val="en-GB"/>
        </w:rPr>
      </w:pPr>
      <w:r w:rsidRPr="000F53C8">
        <w:rPr>
          <w:lang w:val="en-GB"/>
        </w:rPr>
        <w:lastRenderedPageBreak/>
        <w:t>The High Council of Water (</w:t>
      </w:r>
      <w:r w:rsidRPr="000F53C8">
        <w:rPr>
          <w:rFonts w:cstheme="minorHAnsi"/>
          <w:lang w:val="en-GB"/>
        </w:rPr>
        <w:t>Conseil Supérieur de l’Eau, CSE) falls under the responsibility of the Prime Minister</w:t>
      </w:r>
      <w:r w:rsidRPr="000F53C8">
        <w:rPr>
          <w:rStyle w:val="FootnoteReference"/>
          <w:rFonts w:cstheme="minorHAnsi"/>
          <w:lang w:val="en-GB"/>
        </w:rPr>
        <w:footnoteReference w:id="4"/>
      </w:r>
      <w:r w:rsidRPr="000F53C8">
        <w:rPr>
          <w:rFonts w:cstheme="minorHAnsi"/>
          <w:lang w:val="en-GB"/>
        </w:rPr>
        <w:t xml:space="preserve">. It is an overarching institution defining the national water management strategies. It is supported by the Technical Committee of Water (Comité Technique de l’Eau, CTE). </w:t>
      </w:r>
    </w:p>
    <w:p w14:paraId="6E6AA133" w14:textId="77777777" w:rsidR="000C649E" w:rsidRPr="000F53C8" w:rsidRDefault="000C649E" w:rsidP="000C649E">
      <w:pPr>
        <w:pStyle w:val="Heading4"/>
        <w:rPr>
          <w:lang w:val="en-GB"/>
        </w:rPr>
      </w:pPr>
      <w:bookmarkStart w:id="20" w:name="_Toc54022751"/>
      <w:r w:rsidRPr="000F53C8">
        <w:rPr>
          <w:lang w:val="en-GB"/>
        </w:rPr>
        <w:t>Collection and management of borehole data</w:t>
      </w:r>
      <w:bookmarkEnd w:id="20"/>
    </w:p>
    <w:p w14:paraId="3D70F6BD" w14:textId="77777777" w:rsidR="00A932C1" w:rsidRPr="002F6D03" w:rsidRDefault="000C649E" w:rsidP="00A932C1">
      <w:pPr>
        <w:rPr>
          <w:b/>
          <w:bCs/>
          <w:lang w:val="en-GB"/>
        </w:rPr>
      </w:pPr>
      <w:r w:rsidRPr="000F53C8">
        <w:rPr>
          <w:lang w:val="en-GB"/>
        </w:rPr>
        <w:t>Drilling for public water supply is under the responsibility of SONES in urban areas and OFOR in rural areas. Private boreholes need to be authorized (above 5 m</w:t>
      </w:r>
      <w:r w:rsidRPr="000F53C8">
        <w:rPr>
          <w:vertAlign w:val="superscript"/>
          <w:lang w:val="en-GB"/>
        </w:rPr>
        <w:t>3</w:t>
      </w:r>
      <w:r w:rsidRPr="000F53C8">
        <w:rPr>
          <w:lang w:val="en-GB"/>
        </w:rPr>
        <w:t>/h) or simply registered (below 5 m</w:t>
      </w:r>
      <w:r w:rsidRPr="000F53C8">
        <w:rPr>
          <w:vertAlign w:val="superscript"/>
          <w:lang w:val="en-GB"/>
        </w:rPr>
        <w:t>3</w:t>
      </w:r>
      <w:r w:rsidRPr="000F53C8">
        <w:rPr>
          <w:lang w:val="en-GB"/>
        </w:rPr>
        <w:t xml:space="preserve">/h). Private borehole owners need to pay a fee. Drilling reports need to be submitted to DGPRE, including all data related to the siting, drilling, construction and testing of the borehole. These reports are normally submitted by the engineering company in charge of the works. They sometimes include water quality analyses (a sample is taken when a borehole is drilled). These boreholes are then recorded in a database. The database at DGPRE is called PROGRES and it contains over 8,000 records. As said above, the database is incomplete (records are missing or incomplete). The original reports are stored in hard copy. Since 2019, DGPRE also manages a database with data on licenses, extraction rates and fees. Apparently, DGPRE has the support of the national IT Agency, (Agence de l’Informatique de l’Etat, ADIE) to manage these server-based databases. Data from the database are shared on request. However, it was reported that these requests are not always answered in due time. </w:t>
      </w:r>
      <w:r w:rsidR="00A932C1" w:rsidRPr="005F559B">
        <w:rPr>
          <w:lang w:val="en-GB"/>
        </w:rPr>
        <w:t>At</w:t>
      </w:r>
      <w:r w:rsidR="00A932C1">
        <w:rPr>
          <w:lang w:val="en-GB"/>
        </w:rPr>
        <w:t xml:space="preserve"> the</w:t>
      </w:r>
      <w:r w:rsidR="00A932C1" w:rsidRPr="005F559B">
        <w:rPr>
          <w:lang w:val="en-GB"/>
        </w:rPr>
        <w:t xml:space="preserve"> regional level </w:t>
      </w:r>
      <w:r w:rsidR="00A932C1">
        <w:rPr>
          <w:lang w:val="en-GB"/>
        </w:rPr>
        <w:t>t</w:t>
      </w:r>
      <w:r w:rsidR="00A932C1" w:rsidRPr="005F559B">
        <w:rPr>
          <w:lang w:val="en-GB"/>
        </w:rPr>
        <w:t>he DGPRE has decentralized structures called the Water Resources Brigade-BRE.</w:t>
      </w:r>
    </w:p>
    <w:p w14:paraId="24C5F876" w14:textId="4C4AC503" w:rsidR="000C649E" w:rsidRDefault="000C649E" w:rsidP="000C649E">
      <w:pPr>
        <w:rPr>
          <w:lang w:val="en-GB"/>
        </w:rPr>
      </w:pPr>
      <w:r w:rsidRPr="000F53C8">
        <w:rPr>
          <w:lang w:val="en-GB"/>
        </w:rPr>
        <w:t>There is a division within the DGPRE in charge of law enforcement (e.g. issuance of permits, collection of borehole data). That division doesn’t have regional units. Permits are given by the department authorities, after inspection by the DH regional offices. The DGPRE division carries out inventories of boreholes and wells</w:t>
      </w:r>
      <w:r w:rsidRPr="000F53C8">
        <w:rPr>
          <w:rStyle w:val="FootnoteReference"/>
          <w:lang w:val="en-GB"/>
        </w:rPr>
        <w:footnoteReference w:id="5"/>
      </w:r>
      <w:r w:rsidRPr="000F53C8">
        <w:rPr>
          <w:lang w:val="en-GB"/>
        </w:rPr>
        <w:t xml:space="preserve">. However, it hasn’t enough staff and budget to fully enforce the law. Several interviewees have reported that few boreholes are compliant. Currently, this division targets large groundwater users (e.g. industries, mines) and tries to raise awareness among the communities to comply with the law. Boreholes drilled by SONES or OFOR (or other governmental project like at the Ministry of Agriculture) don’t need the authorization from the DGPRE but the DGPRE is often involved, so it keeps record of these boreholes. OFOR and SONES have their own databases. For example, SONES has data for about 270 boreholes, dating back to 1959. There is no common database or information management system but, in principle, these organisations share data with DGPRE. </w:t>
      </w:r>
    </w:p>
    <w:p w14:paraId="6B74DA2E" w14:textId="77777777" w:rsidR="00A932C1" w:rsidRPr="002F6D03" w:rsidRDefault="00A932C1" w:rsidP="000C649E">
      <w:pPr>
        <w:rPr>
          <w:lang w:val="en-GB"/>
        </w:rPr>
      </w:pPr>
    </w:p>
    <w:p w14:paraId="11E23597" w14:textId="77777777" w:rsidR="000C649E" w:rsidRPr="000F53C8" w:rsidRDefault="000C649E" w:rsidP="000C649E">
      <w:pPr>
        <w:pStyle w:val="Heading4"/>
        <w:rPr>
          <w:lang w:val="en-GB"/>
        </w:rPr>
      </w:pPr>
      <w:bookmarkStart w:id="21" w:name="_Toc54022752"/>
      <w:r w:rsidRPr="000F53C8">
        <w:rPr>
          <w:lang w:val="en-GB"/>
        </w:rPr>
        <w:t>Groundwater monitoring</w:t>
      </w:r>
      <w:bookmarkEnd w:id="21"/>
    </w:p>
    <w:p w14:paraId="2E2E9B7A" w14:textId="77777777" w:rsidR="000C649E" w:rsidRPr="000F53C8" w:rsidRDefault="000C649E" w:rsidP="000C649E">
      <w:pPr>
        <w:rPr>
          <w:lang w:val="en-GB"/>
        </w:rPr>
      </w:pPr>
      <w:r w:rsidRPr="000F53C8">
        <w:rPr>
          <w:lang w:val="en-GB"/>
        </w:rPr>
        <w:t>Groundwater monitoring activities are carried out by DGPRE and SONES. DGPRE maintains a national monitoring network with time series dating back to the sixties. The frequency of monitoring depends on the pressure on the aquifers (frequency is higher in hotspots). It is twice per year in zone Nord, Casamance, Bassin Arachidier, Tamba et Kaffrine. In the Horst de Diass, where the pressure is higher, the frequency is rather trimestrial. Near Dakar, measures are taken monthly. However, the frequency of monitoring is also much dependent on the available budget, and therefore on projects. In 2019, DGPRE had monitored 498 points, including 290 observation boreholes, 127 boreholes, 16 boreholes/wells and 65 wells. Some boreholes are equipped with automatic data loggers. Groundwater quality parameters are monitored as often as groundwater levels. Therefore, it also depends on projects. The main challenges reported are the access to some observation boreholes, the maintenance of boreholes and automatic data loggers, as well as vandalism. There is insufficient budget and capacity. The density and the geographic coverage of the network is not enough everywhere. All data are stored in a dedicated database called CHRONO.</w:t>
      </w:r>
    </w:p>
    <w:p w14:paraId="4D0F64F2" w14:textId="2CF0FBB3" w:rsidR="000C649E" w:rsidRPr="000F53C8" w:rsidRDefault="000C649E" w:rsidP="000C649E">
      <w:pPr>
        <w:rPr>
          <w:lang w:val="en-GB"/>
        </w:rPr>
      </w:pPr>
      <w:r w:rsidRPr="000F53C8">
        <w:rPr>
          <w:lang w:val="en-GB"/>
        </w:rPr>
        <w:t>SONES has observation boreholes installed in the vicinity of well</w:t>
      </w:r>
      <w:r w:rsidR="00D70508">
        <w:rPr>
          <w:lang w:val="en-GB"/>
        </w:rPr>
        <w:t>-</w:t>
      </w:r>
      <w:r w:rsidRPr="000F53C8">
        <w:rPr>
          <w:lang w:val="en-GB"/>
        </w:rPr>
        <w:t>fields. Those are monitored twice per year. Groundwater quality is monitored more frequently. The monitoring data from SONES are stored in Excel spreadsheets. They are not meant to be shared outside governmental institutions.</w:t>
      </w:r>
    </w:p>
    <w:p w14:paraId="62A078A5" w14:textId="77777777" w:rsidR="000C649E" w:rsidRPr="000F53C8" w:rsidRDefault="000C649E" w:rsidP="000C649E">
      <w:pPr>
        <w:rPr>
          <w:lang w:val="en-GB"/>
        </w:rPr>
      </w:pPr>
      <w:r w:rsidRPr="000F53C8">
        <w:rPr>
          <w:lang w:val="en-GB"/>
        </w:rPr>
        <w:t>SONES and OFOR monitor abstraction at the production boreholes. DGPRE collects abstraction data from private boreholes but only a few of them are equipped with flowmeters.</w:t>
      </w:r>
    </w:p>
    <w:p w14:paraId="45833A36" w14:textId="77777777" w:rsidR="000C649E" w:rsidRPr="000F53C8" w:rsidRDefault="000C649E" w:rsidP="000C649E">
      <w:pPr>
        <w:pStyle w:val="Heading3"/>
        <w:rPr>
          <w:lang w:val="en-GB"/>
        </w:rPr>
      </w:pPr>
      <w:bookmarkStart w:id="22" w:name="_Toc54022753"/>
      <w:r w:rsidRPr="000F53C8">
        <w:rPr>
          <w:lang w:val="en-GB"/>
        </w:rPr>
        <w:t>OMVS and OMVG</w:t>
      </w:r>
      <w:bookmarkEnd w:id="22"/>
    </w:p>
    <w:p w14:paraId="2FB56266" w14:textId="77777777" w:rsidR="000C649E" w:rsidRPr="000F53C8" w:rsidRDefault="000C649E" w:rsidP="000C649E">
      <w:pPr>
        <w:rPr>
          <w:lang w:val="en-GB"/>
        </w:rPr>
      </w:pPr>
      <w:r w:rsidRPr="000F53C8">
        <w:rPr>
          <w:lang w:val="en-GB"/>
        </w:rPr>
        <w:t xml:space="preserve">OMVS and OMVG have been created to manage transboundary river basins. The conventions of the two RBOs (which are very similar) don’t mention groundwater. Both RBOs are willing to integrate groundwater, in a logic of IWRM, but they lack the capacity (limited number of hydrogeologists among the staff, limited equipment) and a mandate from the member states to get access to the data collected by the national departments (e.g. borehole data, groundwater monitoring data) and to engage in groundwater management. </w:t>
      </w:r>
    </w:p>
    <w:p w14:paraId="5C8CB5A0" w14:textId="77777777" w:rsidR="000C649E" w:rsidRPr="000F53C8" w:rsidRDefault="000C649E" w:rsidP="000C649E">
      <w:pPr>
        <w:rPr>
          <w:lang w:val="en-GB"/>
        </w:rPr>
      </w:pPr>
      <w:r w:rsidRPr="000F53C8">
        <w:rPr>
          <w:lang w:val="en-GB"/>
        </w:rPr>
        <w:t>In 2018, OMVS has started collecting groundwater data from the organisations in charge, following the recommendation of the Permanent Water Commission (Commission Permanente des Eaux, CPE). The objective is to assess where groundwater and surface water interact or can be managed conjunctively. The collection of data is reported to be challenging.</w:t>
      </w:r>
    </w:p>
    <w:p w14:paraId="1D209B69" w14:textId="77777777" w:rsidR="000C649E" w:rsidRPr="000F53C8" w:rsidRDefault="000C649E" w:rsidP="000C649E">
      <w:pPr>
        <w:rPr>
          <w:lang w:val="en-GB"/>
        </w:rPr>
      </w:pPr>
      <w:r w:rsidRPr="000F53C8">
        <w:rPr>
          <w:lang w:val="en-GB"/>
        </w:rPr>
        <w:t>OMVG doesn’t monitor groundwater itself but supports the riparian states in their groundwater monitoring activities, with the purchase of equipment and dedicated training. Five observation boreholes have been installed as part of a project with the African Water Facility (AWF) and 5 others for an energy project. There is a protocol for data exchange among the riparian states.</w:t>
      </w:r>
    </w:p>
    <w:p w14:paraId="0B27BBA1" w14:textId="77777777" w:rsidR="000C649E" w:rsidRPr="000F53C8" w:rsidRDefault="000C649E" w:rsidP="000C649E">
      <w:pPr>
        <w:pStyle w:val="Heading2"/>
        <w:rPr>
          <w:lang w:val="en-GB"/>
        </w:rPr>
      </w:pPr>
      <w:bookmarkStart w:id="23" w:name="_Ref51142799"/>
      <w:bookmarkStart w:id="24" w:name="_Toc54022754"/>
      <w:r w:rsidRPr="000F53C8">
        <w:rPr>
          <w:lang w:val="en-GB"/>
        </w:rPr>
        <w:t>Management issues and recommendations</w:t>
      </w:r>
      <w:bookmarkEnd w:id="23"/>
      <w:bookmarkEnd w:id="24"/>
    </w:p>
    <w:p w14:paraId="0E55D1A8" w14:textId="4E072F5A" w:rsidR="000C649E" w:rsidRPr="000F53C8" w:rsidRDefault="000C649E" w:rsidP="000C649E">
      <w:pPr>
        <w:rPr>
          <w:lang w:val="en-GB"/>
        </w:rPr>
      </w:pPr>
      <w:r w:rsidRPr="000F53C8">
        <w:rPr>
          <w:lang w:val="en-GB"/>
        </w:rPr>
        <w:t xml:space="preserve">Management issues reported by the interviewees have been listed in </w:t>
      </w:r>
      <w:r w:rsidRPr="000F53C8">
        <w:rPr>
          <w:lang w:val="en-GB"/>
        </w:rPr>
        <w:fldChar w:fldCharType="begin"/>
      </w:r>
      <w:r w:rsidRPr="000F53C8">
        <w:rPr>
          <w:lang w:val="en-GB"/>
        </w:rPr>
        <w:instrText xml:space="preserve"> REF _Ref51075962 \h  \* MERGEFORMAT </w:instrText>
      </w:r>
      <w:r w:rsidRPr="000F53C8">
        <w:rPr>
          <w:lang w:val="en-GB"/>
        </w:rPr>
      </w:r>
      <w:r w:rsidRPr="000F53C8">
        <w:rPr>
          <w:lang w:val="en-GB"/>
        </w:rPr>
        <w:fldChar w:fldCharType="separate"/>
      </w:r>
      <w:r w:rsidRPr="000F53C8">
        <w:rPr>
          <w:lang w:val="en-GB"/>
        </w:rPr>
        <w:t xml:space="preserve">Table </w:t>
      </w:r>
      <w:r w:rsidRPr="000F53C8">
        <w:rPr>
          <w:lang w:val="en-GB"/>
        </w:rPr>
        <w:fldChar w:fldCharType="end"/>
      </w:r>
      <w:r w:rsidR="006B609F" w:rsidRPr="000F53C8">
        <w:rPr>
          <w:lang w:val="en-GB"/>
        </w:rPr>
        <w:t>2</w:t>
      </w:r>
      <w:r w:rsidRPr="000F53C8">
        <w:rPr>
          <w:lang w:val="en-GB"/>
        </w:rPr>
        <w:t xml:space="preserve">. It appears that most management issues are shared between the countries, which offers opportunities for transboundary cooperation. Several capacity-building activities could be implemented at the basin scale. It is possible to distinguish two categories of issues. On one hand, there are issues pertaining to the availability and the quality of groundwater resources. For example, there are cases of over-abstraction or risks of over-abstraction in several places. In coastal regions (where the population density is the highest), this can lead to seawater intrusion, as reported in the Gambia, Guinea-Bissau and Senegal. There are also several cases of contamination, either anthropogenic or natural. On the other hand, there are organisational issues, including a lack of capacity in the organisations engaged in (ground)water management. These organisational issues hinder the first category of issues to be efficiently tackled. Major organisational issues are described below, and recommendations are made to address them.  </w:t>
      </w:r>
    </w:p>
    <w:p w14:paraId="2F53074A" w14:textId="77777777" w:rsidR="000C649E" w:rsidRPr="000F53C8" w:rsidRDefault="000C649E" w:rsidP="000C649E">
      <w:pPr>
        <w:pStyle w:val="Heading4"/>
        <w:numPr>
          <w:ilvl w:val="0"/>
          <w:numId w:val="20"/>
        </w:numPr>
        <w:spacing w:before="40" w:after="0"/>
        <w:rPr>
          <w:lang w:val="en-GB"/>
        </w:rPr>
      </w:pPr>
      <w:bookmarkStart w:id="25" w:name="_Toc54022755"/>
      <w:r w:rsidRPr="000F53C8">
        <w:rPr>
          <w:lang w:val="en-GB"/>
        </w:rPr>
        <w:t>Groundwater governance</w:t>
      </w:r>
      <w:bookmarkEnd w:id="25"/>
    </w:p>
    <w:p w14:paraId="1F4B613D" w14:textId="1641C5ED" w:rsidR="000C649E" w:rsidRPr="000F53C8" w:rsidRDefault="000C649E" w:rsidP="000C649E">
      <w:pPr>
        <w:rPr>
          <w:lang w:val="en-GB"/>
        </w:rPr>
      </w:pPr>
      <w:r w:rsidRPr="000F53C8">
        <w:rPr>
          <w:lang w:val="en-GB"/>
        </w:rPr>
        <w:t xml:space="preserve">Every country has a dedicated institution in charge of groundwater management, under the responsibility of the ministry of water. However, it is often unclear what their exact responsibilities are because of ongoing institutional reforms that are not fully implemented. In Gambia, a National Water Sector Reform Project was completed in 2015, foreseeing the creation of a National Water Resources Management Authority that would centralize the management of water, taking over responsibilities from DWR (e.g. groundwater monitoring) and other institutions (e.g. borehole licensing from ENA). However, that reform has not been implemented. In Guinea-Bissau, many reforms have been launched that have never come into application, because of the political instability. Several institutions have been created that have never really been capacitated. As a result, the water sector encompasses a large number of stakeholders with unclear responsibilities. In Mauritania, the national water policy (Code de l’Eau, 2005) is being revised. In Senegal, a national Office for Lakes and Rivers (OLAC) has been created in 2018, from which it seems that DGPRE is no longer in charge of surface water (which could have a consequence on the budget and expenses of DGPRE), although the situation remains unclear. The absence of clarity in the governance framework doesn’t favour medium and long-term planning and investments. It is necessary that the responsibilities be clearly defined in order to know who to support and for what purpose. </w:t>
      </w:r>
    </w:p>
    <w:p w14:paraId="2A049D20" w14:textId="77777777" w:rsidR="000C649E" w:rsidRPr="000F53C8" w:rsidRDefault="000C649E" w:rsidP="000C649E">
      <w:pPr>
        <w:rPr>
          <w:lang w:val="en-GB"/>
        </w:rPr>
      </w:pPr>
      <w:r w:rsidRPr="000F53C8">
        <w:rPr>
          <w:u w:val="single"/>
          <w:lang w:val="en-GB"/>
        </w:rPr>
        <w:t>Recommendation:</w:t>
      </w:r>
      <w:r w:rsidRPr="000F53C8">
        <w:rPr>
          <w:lang w:val="en-GB"/>
        </w:rPr>
        <w:t xml:space="preserve"> It is probably beyond the scope of a transboundary project to influence the political reforms, but it should be possible to inquire of the cabinets of the ministers where the current reforms are heading to and get clarity on the responsibilities of each organisation. </w:t>
      </w:r>
    </w:p>
    <w:p w14:paraId="4BC7B98A" w14:textId="77777777" w:rsidR="000C649E" w:rsidRPr="000F53C8" w:rsidRDefault="000C649E" w:rsidP="000C649E">
      <w:pPr>
        <w:pStyle w:val="Heading4"/>
        <w:numPr>
          <w:ilvl w:val="0"/>
          <w:numId w:val="20"/>
        </w:numPr>
        <w:spacing w:before="40" w:after="0"/>
        <w:rPr>
          <w:lang w:val="en-GB"/>
        </w:rPr>
      </w:pPr>
      <w:bookmarkStart w:id="26" w:name="_Toc54022756"/>
      <w:r w:rsidRPr="000F53C8">
        <w:rPr>
          <w:lang w:val="en-GB"/>
        </w:rPr>
        <w:t>Borehole licensing</w:t>
      </w:r>
      <w:bookmarkEnd w:id="26"/>
    </w:p>
    <w:p w14:paraId="4825C716" w14:textId="77777777" w:rsidR="000C649E" w:rsidRPr="000F53C8" w:rsidRDefault="000C649E" w:rsidP="000C649E">
      <w:pPr>
        <w:rPr>
          <w:lang w:val="en-GB"/>
        </w:rPr>
      </w:pPr>
      <w:r w:rsidRPr="000F53C8">
        <w:rPr>
          <w:lang w:val="en-GB"/>
        </w:rPr>
        <w:t>In every country, boreholes need to be authorized or reported to the competent authority, where they can be recorded in a database. The licensing of boreholes serves to control the abstraction of groundwater. The fees collected from the licenses can support other groundwater management activities, like groundwater monitoring. An inventory of boreholes also provides key information for drilling new boreholes: What are the hydrogeological units in that region? At what depth is found groundwater? What are the yields of the boreholes nearby? etc. However, the enforcement of licenses is an issue in all countries. In Gambia and Guinea-Bissau, no institution is actively and continuously engaged in the licensing of boreholes, and the national inventories of boreholes are not updated. The data collected are either old or have been collected during one-off surveys. In Mauritania, there isn’t enough budget to enforce licenses, and the inventory of boreholes is also not up to date. Senegal seems to perform better but DGPRE is also impaired by insufficient capacity to carry out this activity. The strategy followed by DGPRE is to control in priority the large groundwater users and to sensitize the smaller ones.</w:t>
      </w:r>
    </w:p>
    <w:p w14:paraId="2F93236B" w14:textId="77777777" w:rsidR="000C649E" w:rsidRPr="000F53C8" w:rsidRDefault="000C649E" w:rsidP="000C649E">
      <w:pPr>
        <w:rPr>
          <w:lang w:val="en-GB"/>
        </w:rPr>
      </w:pPr>
      <w:r w:rsidRPr="000F53C8">
        <w:rPr>
          <w:u w:val="single"/>
          <w:lang w:val="en-GB"/>
        </w:rPr>
        <w:t>Recommendation:</w:t>
      </w:r>
      <w:r w:rsidRPr="000F53C8">
        <w:rPr>
          <w:lang w:val="en-GB"/>
        </w:rPr>
        <w:t xml:space="preserve"> Following the example of Senegal, the competent authorities could liaise with the stakeholders engaged in borehole drilling and construction (e.g. drillers, consultants, main groundwater users like mines and industries), in order to collect borehole data and licensing fees. In turn, the updated inventory of boreholes could be made readily available to these stakeholders to facilitate the drilling of new boreholes. No information was collected during the consultations on the procedure to apply for a permit. This procedure could possibly be simplified to encourage the users to apply, for example with online forms. It would also be possible to make one-off surveys of boreholes in the countries, but it would not be sustainable if the licensing of boreholes is not actually enforced.</w:t>
      </w:r>
    </w:p>
    <w:p w14:paraId="54AFA263" w14:textId="77777777" w:rsidR="000C649E" w:rsidRPr="000F53C8" w:rsidRDefault="000C649E" w:rsidP="000C649E">
      <w:pPr>
        <w:pStyle w:val="Heading4"/>
        <w:numPr>
          <w:ilvl w:val="0"/>
          <w:numId w:val="20"/>
        </w:numPr>
        <w:spacing w:before="40" w:after="0"/>
        <w:rPr>
          <w:lang w:val="en-GB"/>
        </w:rPr>
      </w:pPr>
      <w:bookmarkStart w:id="27" w:name="_Toc54022757"/>
      <w:r w:rsidRPr="000F53C8">
        <w:rPr>
          <w:lang w:val="en-GB"/>
        </w:rPr>
        <w:t>Groundwater monitoring</w:t>
      </w:r>
      <w:bookmarkEnd w:id="27"/>
    </w:p>
    <w:p w14:paraId="70F58707" w14:textId="0256F5B5" w:rsidR="000C649E" w:rsidRPr="000F53C8" w:rsidRDefault="000C649E" w:rsidP="000C649E">
      <w:pPr>
        <w:rPr>
          <w:lang w:val="en-GB"/>
        </w:rPr>
      </w:pPr>
      <w:r w:rsidRPr="000F53C8">
        <w:rPr>
          <w:lang w:val="en-GB"/>
        </w:rPr>
        <w:t xml:space="preserve">All countries face shortcomings in terms of groundwater monitoring, although at different levels. As illustrated in </w:t>
      </w:r>
      <w:r w:rsidRPr="000F53C8">
        <w:rPr>
          <w:lang w:val="en-GB"/>
        </w:rPr>
        <w:fldChar w:fldCharType="begin"/>
      </w:r>
      <w:r w:rsidRPr="000F53C8">
        <w:rPr>
          <w:lang w:val="en-GB"/>
        </w:rPr>
        <w:instrText xml:space="preserve"> REF _Ref51082308 \h </w:instrText>
      </w:r>
      <w:r w:rsidRPr="000F53C8">
        <w:rPr>
          <w:lang w:val="en-GB"/>
        </w:rPr>
      </w:r>
      <w:r w:rsidRPr="000F53C8">
        <w:rPr>
          <w:lang w:val="en-GB"/>
        </w:rPr>
        <w:fldChar w:fldCharType="separate"/>
      </w:r>
      <w:r w:rsidRPr="000F53C8">
        <w:rPr>
          <w:lang w:val="en-GB"/>
        </w:rPr>
        <w:t xml:space="preserve">Table </w:t>
      </w:r>
      <w:r w:rsidRPr="000F53C8">
        <w:rPr>
          <w:lang w:val="en-GB"/>
        </w:rPr>
        <w:fldChar w:fldCharType="end"/>
      </w:r>
      <w:r w:rsidR="006B609F" w:rsidRPr="000F53C8">
        <w:rPr>
          <w:lang w:val="en-GB"/>
        </w:rPr>
        <w:t>3</w:t>
      </w:r>
      <w:r w:rsidRPr="000F53C8">
        <w:rPr>
          <w:lang w:val="en-GB"/>
        </w:rPr>
        <w:t xml:space="preserve">, only Gambia and Senegal are engaged in nation-wide groundwater monitoring. In Gambia, the monitoring network was developed recently, in 2014. In both countries, it was reported that the number of monitoring stations is insufficient, and that the monitoring of the current observation boreholes is challenging: there is vandalism, boreholes are difficult to access, data loggers fail and need to be replaced, telemetry as well, there isn’t always enough budget to visit the boreholes, etc. In consequence, the frequency of monitoring is irregular. </w:t>
      </w:r>
    </w:p>
    <w:p w14:paraId="33DF87BD" w14:textId="77777777" w:rsidR="000C649E" w:rsidRPr="000F53C8" w:rsidRDefault="000C649E" w:rsidP="000C649E">
      <w:pPr>
        <w:rPr>
          <w:lang w:val="en-GB"/>
        </w:rPr>
      </w:pPr>
      <w:r w:rsidRPr="000F53C8">
        <w:rPr>
          <w:u w:val="single"/>
          <w:lang w:val="en-GB"/>
        </w:rPr>
        <w:t>Recommendation:</w:t>
      </w:r>
      <w:r w:rsidRPr="000F53C8">
        <w:rPr>
          <w:lang w:val="en-GB"/>
        </w:rPr>
        <w:t xml:space="preserve"> Although groundwater monitoring is impaired by a lack of staff and equipment, reflecting an overall lack of budget, monitoring networks could possibly be optimized, through a thorough exercise of planning, design and budgeting of all activities. A cooperation project should start with the in-depth assessment of current monitoring networks, before investments in infrastructure can eventually be made. This is to avoid monitoring networks to deteriorate and to be progressively abandoned, like it happened in the past in many countries. Several reference works can be used to assess and improve monitoring networks, like the Guidelines on Monitoring and Assessment of Transboundary Groundwaters (UNECE, 2000)</w:t>
      </w:r>
      <w:r w:rsidRPr="000F53C8">
        <w:rPr>
          <w:rStyle w:val="FootnoteReference"/>
          <w:lang w:val="en-GB"/>
        </w:rPr>
        <w:footnoteReference w:id="6"/>
      </w:r>
      <w:r w:rsidRPr="000F53C8">
        <w:rPr>
          <w:lang w:val="en-GB"/>
        </w:rPr>
        <w:t>, the Guideline on Groundwater monitoring for general reference purposes (IGRAC 2006)</w:t>
      </w:r>
      <w:r w:rsidRPr="000F53C8">
        <w:rPr>
          <w:rStyle w:val="FootnoteReference"/>
          <w:lang w:val="en-GB"/>
        </w:rPr>
        <w:footnoteReference w:id="7"/>
      </w:r>
      <w:r w:rsidRPr="000F53C8">
        <w:rPr>
          <w:lang w:val="en-GB"/>
        </w:rPr>
        <w:t xml:space="preserve"> or the SADC Framework for Groundwater Data Collection and Management (SADC-GMI, IGRAC &amp; IGS, 2019)</w:t>
      </w:r>
      <w:r w:rsidRPr="000F53C8">
        <w:rPr>
          <w:rStyle w:val="FootnoteReference"/>
          <w:lang w:val="en-GB"/>
        </w:rPr>
        <w:footnoteReference w:id="8"/>
      </w:r>
      <w:r w:rsidRPr="000F53C8">
        <w:rPr>
          <w:lang w:val="en-GB"/>
        </w:rPr>
        <w:t>.</w:t>
      </w:r>
    </w:p>
    <w:p w14:paraId="0D02FB1E" w14:textId="77777777" w:rsidR="000C649E" w:rsidRPr="000F53C8" w:rsidRDefault="000C649E" w:rsidP="000C649E">
      <w:pPr>
        <w:pStyle w:val="Heading4"/>
        <w:numPr>
          <w:ilvl w:val="0"/>
          <w:numId w:val="20"/>
        </w:numPr>
        <w:spacing w:before="40" w:after="0"/>
        <w:rPr>
          <w:lang w:val="en-GB"/>
        </w:rPr>
      </w:pPr>
      <w:bookmarkStart w:id="28" w:name="_Toc54022758"/>
      <w:r w:rsidRPr="000F53C8">
        <w:rPr>
          <w:lang w:val="en-GB"/>
        </w:rPr>
        <w:t>Research and knowledge gaps</w:t>
      </w:r>
      <w:bookmarkEnd w:id="28"/>
    </w:p>
    <w:p w14:paraId="46687561" w14:textId="77777777" w:rsidR="000C649E" w:rsidRPr="000F53C8" w:rsidRDefault="000C649E" w:rsidP="000C649E">
      <w:pPr>
        <w:rPr>
          <w:lang w:val="en-GB"/>
        </w:rPr>
      </w:pPr>
      <w:r w:rsidRPr="000F53C8">
        <w:rPr>
          <w:lang w:val="en-GB"/>
        </w:rPr>
        <w:t xml:space="preserve">Borehole data and groundwater monitoring data are the basis for assessing and managing groundwater resources constantly. The collection of these data should be prioritized. However, it could be that additional data are required to inform some management questions, like for instance quantifying the recharge, investigating the interactions between groundwater and surface water, etc. </w:t>
      </w:r>
    </w:p>
    <w:p w14:paraId="37BD520F" w14:textId="77777777" w:rsidR="000C649E" w:rsidRPr="000F53C8" w:rsidRDefault="000C649E" w:rsidP="000C649E">
      <w:pPr>
        <w:rPr>
          <w:lang w:val="en-GB"/>
        </w:rPr>
      </w:pPr>
      <w:r w:rsidRPr="000F53C8">
        <w:rPr>
          <w:u w:val="single"/>
          <w:lang w:val="en-GB"/>
        </w:rPr>
        <w:t>Recommendation:</w:t>
      </w:r>
      <w:r w:rsidRPr="000F53C8">
        <w:rPr>
          <w:lang w:val="en-GB"/>
        </w:rPr>
        <w:t xml:space="preserve"> A regional cooperation project could include temporary research activities to fill in knowledge gaps that cannot be answered from borehole data and groundwater monitoring data only.</w:t>
      </w:r>
    </w:p>
    <w:p w14:paraId="607A0D98" w14:textId="77777777" w:rsidR="000C649E" w:rsidRPr="000F53C8" w:rsidRDefault="000C649E" w:rsidP="000C649E">
      <w:pPr>
        <w:pStyle w:val="Heading4"/>
        <w:numPr>
          <w:ilvl w:val="0"/>
          <w:numId w:val="20"/>
        </w:numPr>
        <w:spacing w:before="40" w:after="0"/>
        <w:rPr>
          <w:lang w:val="en-GB"/>
        </w:rPr>
      </w:pPr>
      <w:bookmarkStart w:id="29" w:name="_Toc54022759"/>
      <w:r w:rsidRPr="000F53C8">
        <w:rPr>
          <w:lang w:val="en-GB"/>
        </w:rPr>
        <w:t>Data storage</w:t>
      </w:r>
      <w:bookmarkEnd w:id="29"/>
    </w:p>
    <w:p w14:paraId="4568630D" w14:textId="77777777" w:rsidR="000C649E" w:rsidRPr="000F53C8" w:rsidRDefault="000C649E" w:rsidP="000C649E">
      <w:pPr>
        <w:rPr>
          <w:lang w:val="en-GB"/>
        </w:rPr>
      </w:pPr>
      <w:r w:rsidRPr="000F53C8">
        <w:rPr>
          <w:lang w:val="en-GB"/>
        </w:rPr>
        <w:t xml:space="preserve">Although it wasn’t reported as a major concern by the interviewees, the data are sometimes stored in Excel files or in hardcopy. When a dedicated database is used, it happens that the staff have been insufficiently trained to use it properly. It also happens that licenses for commercial software cannot be extended because there isn’t enough budget. </w:t>
      </w:r>
    </w:p>
    <w:p w14:paraId="0C72F889" w14:textId="77777777" w:rsidR="000C649E" w:rsidRPr="000F53C8" w:rsidRDefault="000C649E" w:rsidP="000C649E">
      <w:pPr>
        <w:rPr>
          <w:lang w:val="en-GB"/>
        </w:rPr>
      </w:pPr>
      <w:r w:rsidRPr="000F53C8">
        <w:rPr>
          <w:u w:val="single"/>
          <w:lang w:val="en-GB"/>
        </w:rPr>
        <w:t>Recommendation:</w:t>
      </w:r>
      <w:r w:rsidRPr="000F53C8">
        <w:rPr>
          <w:lang w:val="en-GB"/>
        </w:rPr>
        <w:t xml:space="preserve"> The storage of groundwater data in the departments could be improved in multiple ways. Hardcopy reports could be scanned. Training on Excel and advanced database software programs could be provided. The use of free and open-source software could be favoured. If necessary, additional software could be purchased/developed. In that case, the same software programs could be installed in the departments, which would support synergies in terms of development and maintenance, and facilitate the exchange of data.</w:t>
      </w:r>
    </w:p>
    <w:p w14:paraId="1386D23A" w14:textId="77777777" w:rsidR="000C649E" w:rsidRPr="000F53C8" w:rsidRDefault="000C649E" w:rsidP="000C649E">
      <w:pPr>
        <w:pStyle w:val="Heading4"/>
        <w:numPr>
          <w:ilvl w:val="0"/>
          <w:numId w:val="20"/>
        </w:numPr>
        <w:spacing w:before="40" w:after="0"/>
        <w:rPr>
          <w:lang w:val="en-GB"/>
        </w:rPr>
      </w:pPr>
      <w:bookmarkStart w:id="30" w:name="_Toc54022760"/>
      <w:r w:rsidRPr="000F53C8">
        <w:rPr>
          <w:lang w:val="en-GB"/>
        </w:rPr>
        <w:t>Data sharing</w:t>
      </w:r>
      <w:bookmarkEnd w:id="30"/>
    </w:p>
    <w:p w14:paraId="363BB5AA" w14:textId="77777777" w:rsidR="000C649E" w:rsidRPr="000F53C8" w:rsidRDefault="000C649E" w:rsidP="000C649E">
      <w:pPr>
        <w:rPr>
          <w:lang w:val="en-GB"/>
        </w:rPr>
      </w:pPr>
      <w:r w:rsidRPr="000F53C8">
        <w:rPr>
          <w:lang w:val="en-GB"/>
        </w:rPr>
        <w:t>Interviewees have reported that the sharing of data can be challenging, with other governmental or parastatal organisations, with RBOs or even within the departments.</w:t>
      </w:r>
    </w:p>
    <w:p w14:paraId="5D234068" w14:textId="77777777" w:rsidR="000C649E" w:rsidRPr="000F53C8" w:rsidRDefault="000C649E" w:rsidP="000C649E">
      <w:pPr>
        <w:rPr>
          <w:lang w:val="en-GB"/>
        </w:rPr>
      </w:pPr>
      <w:r w:rsidRPr="000F53C8">
        <w:rPr>
          <w:u w:val="single"/>
          <w:lang w:val="en-GB"/>
        </w:rPr>
        <w:t>Recommendation:</w:t>
      </w:r>
      <w:r w:rsidRPr="000F53C8">
        <w:rPr>
          <w:lang w:val="en-GB"/>
        </w:rPr>
        <w:t xml:space="preserve"> The development of a regional data sharing platform supporting different user roles and levels of permission could be instrumental to foster data sharing. What could also be useful is the adoption in each organisation of a data management policy, covering a.o. data sharing aspects. A data management policy would clarify who can access what data and how (under which conditions).</w:t>
      </w:r>
    </w:p>
    <w:p w14:paraId="17780F0D" w14:textId="77777777" w:rsidR="000C649E" w:rsidRPr="000F53C8" w:rsidRDefault="000C649E" w:rsidP="000C649E">
      <w:pPr>
        <w:pStyle w:val="Heading4"/>
        <w:numPr>
          <w:ilvl w:val="0"/>
          <w:numId w:val="20"/>
        </w:numPr>
        <w:spacing w:before="40" w:after="0"/>
        <w:rPr>
          <w:lang w:val="en-GB"/>
        </w:rPr>
      </w:pPr>
      <w:bookmarkStart w:id="31" w:name="_Toc54022761"/>
      <w:r w:rsidRPr="000F53C8">
        <w:rPr>
          <w:lang w:val="en-GB"/>
        </w:rPr>
        <w:t>Engagement of drinking water supply companies</w:t>
      </w:r>
      <w:bookmarkEnd w:id="31"/>
      <w:r w:rsidRPr="000F53C8">
        <w:rPr>
          <w:lang w:val="en-GB"/>
        </w:rPr>
        <w:t xml:space="preserve"> </w:t>
      </w:r>
    </w:p>
    <w:p w14:paraId="73E630B9" w14:textId="77777777" w:rsidR="000C649E" w:rsidRPr="000F53C8" w:rsidRDefault="000C649E" w:rsidP="000C649E">
      <w:pPr>
        <w:rPr>
          <w:lang w:val="en-GB"/>
        </w:rPr>
      </w:pPr>
      <w:r w:rsidRPr="000F53C8">
        <w:rPr>
          <w:lang w:val="en-GB"/>
        </w:rPr>
        <w:t xml:space="preserve">Since most groundwater is exploited for drinking water, the organisations in charge of public water supply play a key role in groundwater governance. In Gambia, Mauritania and Senegal, public water supply is managed by national organisations (at least for urban areas, sometimes there is also a dedicated organisation for rural water supply like in Senegal). In Guinea-Bissau, there is a variety of organisations and companies managing water supply in different cities. The collaboration between public water suppliers and national departments of (ground)water is not always good. Borehole data and monitoring data are not always communicated to the national departments. </w:t>
      </w:r>
    </w:p>
    <w:p w14:paraId="4483DE96" w14:textId="77777777" w:rsidR="000C649E" w:rsidRPr="000F53C8" w:rsidRDefault="000C649E" w:rsidP="000C649E">
      <w:pPr>
        <w:rPr>
          <w:lang w:val="en-GB"/>
        </w:rPr>
      </w:pPr>
      <w:r w:rsidRPr="000F53C8">
        <w:rPr>
          <w:u w:val="single"/>
          <w:lang w:val="en-GB"/>
        </w:rPr>
        <w:t>Recommendation:</w:t>
      </w:r>
      <w:r w:rsidRPr="000F53C8">
        <w:rPr>
          <w:lang w:val="en-GB"/>
        </w:rPr>
        <w:t xml:space="preserve"> Facilitate the cooperation between public water supply companies and the national departments in charge of groundwater management, in particular regarding the sharing of data.     </w:t>
      </w:r>
    </w:p>
    <w:p w14:paraId="7C7A9032" w14:textId="77777777" w:rsidR="000C649E" w:rsidRPr="000F53C8" w:rsidRDefault="000C649E" w:rsidP="000C649E">
      <w:pPr>
        <w:pStyle w:val="Heading4"/>
        <w:numPr>
          <w:ilvl w:val="0"/>
          <w:numId w:val="20"/>
        </w:numPr>
        <w:spacing w:before="40" w:after="0"/>
        <w:rPr>
          <w:lang w:val="en-GB"/>
        </w:rPr>
      </w:pPr>
      <w:bookmarkStart w:id="32" w:name="_Toc54022762"/>
      <w:r w:rsidRPr="000F53C8">
        <w:rPr>
          <w:lang w:val="en-GB"/>
        </w:rPr>
        <w:t>Translating data into information</w:t>
      </w:r>
      <w:bookmarkEnd w:id="32"/>
    </w:p>
    <w:p w14:paraId="04FACDD9" w14:textId="77777777" w:rsidR="000C649E" w:rsidRPr="000F53C8" w:rsidRDefault="000C649E" w:rsidP="000C649E">
      <w:pPr>
        <w:rPr>
          <w:lang w:val="en-GB"/>
        </w:rPr>
      </w:pPr>
      <w:r w:rsidRPr="000F53C8">
        <w:rPr>
          <w:lang w:val="en-GB"/>
        </w:rPr>
        <w:t xml:space="preserve">Borehole data and groundwater monitoring data (when they are collected) are generally interpreted, and (mostly yearly) reports are made. However, these reports seem to be shared only within the ministries, or with a limited group of decision-makers. </w:t>
      </w:r>
    </w:p>
    <w:p w14:paraId="33511572" w14:textId="77777777" w:rsidR="000C649E" w:rsidRPr="000F53C8" w:rsidRDefault="000C649E" w:rsidP="000C649E">
      <w:pPr>
        <w:rPr>
          <w:lang w:val="en-GB"/>
        </w:rPr>
      </w:pPr>
      <w:r w:rsidRPr="000F53C8">
        <w:rPr>
          <w:u w:val="single"/>
          <w:lang w:val="en-GB"/>
        </w:rPr>
        <w:t>Recommendation:</w:t>
      </w:r>
      <w:r w:rsidRPr="000F53C8">
        <w:rPr>
          <w:lang w:val="en-GB"/>
        </w:rPr>
        <w:t xml:space="preserve"> Relevant information could also be extracted and shared with other stakeholders to let them participate in an informed manner in the management of groundwater resources. Relevant stakeholders are for instance drillers, consultancy companies, large water users (industries, mines, tourism sector), farmers, households, etc. These stakeholders have different backgrounds and different relationships with groundwater. Therefore, they don’t ask for the same sort of information. It is important that key messages be tailored to the right audience and be communicated accordingly.</w:t>
      </w:r>
    </w:p>
    <w:p w14:paraId="3678B7DC" w14:textId="77777777" w:rsidR="000C649E" w:rsidRPr="000F53C8" w:rsidRDefault="000C649E" w:rsidP="000C649E">
      <w:pPr>
        <w:pStyle w:val="Heading4"/>
        <w:numPr>
          <w:ilvl w:val="0"/>
          <w:numId w:val="20"/>
        </w:numPr>
        <w:spacing w:before="40" w:after="0"/>
        <w:rPr>
          <w:lang w:val="en-GB"/>
        </w:rPr>
      </w:pPr>
      <w:bookmarkStart w:id="33" w:name="_Toc54022763"/>
      <w:r w:rsidRPr="000F53C8">
        <w:rPr>
          <w:lang w:val="en-GB"/>
        </w:rPr>
        <w:t>Awareness-raising in communities</w:t>
      </w:r>
      <w:bookmarkEnd w:id="33"/>
    </w:p>
    <w:p w14:paraId="503235AF" w14:textId="77777777" w:rsidR="000C649E" w:rsidRPr="000F53C8" w:rsidRDefault="000C649E" w:rsidP="000C649E">
      <w:pPr>
        <w:rPr>
          <w:lang w:val="en-GB"/>
        </w:rPr>
      </w:pPr>
      <w:r w:rsidRPr="000F53C8">
        <w:rPr>
          <w:lang w:val="en-GB"/>
        </w:rPr>
        <w:t xml:space="preserve">Communities and individuals that are not connected to a public water supply network often rely on hand-dug wells or improved wells (whether in urban or rural areas). These wells are sensitive to the fluctuations of the water table and vulnerable to contamination (because there is no sewage system, there are many cases of contamination from pit latrines or other on-site sanitation facilities). </w:t>
      </w:r>
    </w:p>
    <w:p w14:paraId="57C462A7" w14:textId="77777777" w:rsidR="000C649E" w:rsidRPr="000F53C8" w:rsidRDefault="000C649E" w:rsidP="000C649E">
      <w:pPr>
        <w:rPr>
          <w:lang w:val="en-GB"/>
        </w:rPr>
      </w:pPr>
      <w:r w:rsidRPr="000F53C8">
        <w:rPr>
          <w:u w:val="single"/>
          <w:lang w:val="en-GB"/>
        </w:rPr>
        <w:t>Recommendation:</w:t>
      </w:r>
      <w:r w:rsidRPr="000F53C8">
        <w:rPr>
          <w:lang w:val="en-GB"/>
        </w:rPr>
        <w:t xml:space="preserve"> A cooperation project could tailor specific activities for these groundwater users, starting from awareness-raising on groundwater resources and their management. For instance, they could be given good practices for constructing wells and sanitation facilities that minimize the risk of contamination.</w:t>
      </w:r>
    </w:p>
    <w:p w14:paraId="1EA45140" w14:textId="77777777" w:rsidR="000C649E" w:rsidRPr="000F53C8" w:rsidRDefault="000C649E" w:rsidP="000C649E">
      <w:pPr>
        <w:pStyle w:val="Heading4"/>
        <w:numPr>
          <w:ilvl w:val="0"/>
          <w:numId w:val="20"/>
        </w:numPr>
        <w:spacing w:before="40" w:after="0"/>
        <w:rPr>
          <w:lang w:val="en-GB"/>
        </w:rPr>
      </w:pPr>
      <w:bookmarkStart w:id="34" w:name="_Toc54022764"/>
      <w:r w:rsidRPr="000F53C8">
        <w:rPr>
          <w:lang w:val="en-GB"/>
        </w:rPr>
        <w:t>Improvement of drinking water supply</w:t>
      </w:r>
      <w:bookmarkEnd w:id="34"/>
    </w:p>
    <w:p w14:paraId="20CDBA5A" w14:textId="77777777" w:rsidR="000C649E" w:rsidRPr="000F53C8" w:rsidRDefault="000C649E" w:rsidP="000C649E">
      <w:pPr>
        <w:rPr>
          <w:lang w:val="en-GB"/>
        </w:rPr>
      </w:pPr>
      <w:r w:rsidRPr="000F53C8">
        <w:rPr>
          <w:lang w:val="en-GB"/>
        </w:rPr>
        <w:t xml:space="preserve">The management of public water supply is a concern in many cities. In Gambia and Guinea Bissau (at least), there are no proper protection areas around the production boreholes, with a high risk of contamination from neighbouring anthropogenic activities. In a city like Bissau, there is no monitoring of groundwater level and quality. In Banjul and Bissau, there is also a large percentage of drinking water being lost in the network because of leaks and illegal connections. Leakages pose a threat of contamination by effluents in the shallow subsurface. Although not reported in any of the consultations, a significant part of the citizens in the 4 countries have not access to safe drinking water (insufficient quantity and/or quality). To improve this situation, the coverage of public water supply networks should be extended. The growth of urban population is also very high, so it is expected that more wellfields will be needed. </w:t>
      </w:r>
    </w:p>
    <w:p w14:paraId="41649A16" w14:textId="77777777" w:rsidR="000C649E" w:rsidRPr="000F53C8" w:rsidRDefault="000C649E" w:rsidP="000C649E">
      <w:pPr>
        <w:rPr>
          <w:lang w:val="en-GB"/>
        </w:rPr>
      </w:pPr>
      <w:r w:rsidRPr="000F53C8">
        <w:rPr>
          <w:u w:val="single"/>
          <w:lang w:val="en-GB"/>
        </w:rPr>
        <w:t>Recommendation:</w:t>
      </w:r>
      <w:r w:rsidRPr="000F53C8">
        <w:rPr>
          <w:lang w:val="en-GB"/>
        </w:rPr>
        <w:t xml:space="preserve"> Support public water supply companies in improving the protection and the management of current and projected wellfields (e.g. protection zones, wellfield monitoring). </w:t>
      </w:r>
    </w:p>
    <w:p w14:paraId="59709577" w14:textId="77777777" w:rsidR="000C649E" w:rsidRPr="000F53C8" w:rsidRDefault="000C649E" w:rsidP="000C649E">
      <w:pPr>
        <w:pStyle w:val="Heading4"/>
        <w:numPr>
          <w:ilvl w:val="0"/>
          <w:numId w:val="20"/>
        </w:numPr>
        <w:spacing w:before="40" w:after="0"/>
        <w:rPr>
          <w:lang w:val="en-GB"/>
        </w:rPr>
      </w:pPr>
      <w:bookmarkStart w:id="35" w:name="_Toc54022765"/>
      <w:r w:rsidRPr="000F53C8">
        <w:rPr>
          <w:lang w:val="en-GB"/>
        </w:rPr>
        <w:t>Education in hydrogeology</w:t>
      </w:r>
      <w:bookmarkEnd w:id="35"/>
    </w:p>
    <w:p w14:paraId="4F22C9ED" w14:textId="77777777" w:rsidR="000C649E" w:rsidRPr="000F53C8" w:rsidRDefault="000C649E" w:rsidP="000C649E">
      <w:pPr>
        <w:rPr>
          <w:lang w:val="en-GB"/>
        </w:rPr>
      </w:pPr>
      <w:r w:rsidRPr="000F53C8">
        <w:rPr>
          <w:lang w:val="en-GB"/>
        </w:rPr>
        <w:t xml:space="preserve">In Gambia and in Guinea-Bissau, there are no dedicated programs in hydro(geo)logy, and groundwater education is reportedly low. Many of the interviewees from the Gambia have graduated abroad. It would be helpful for the institutions in charge of groundwater management if they could hire graduated students that have been trained in hydrogeology and groundwater management. Research groups in hydrogeology in these countries could also be instrumental to support the management of national groundwater resources. </w:t>
      </w:r>
    </w:p>
    <w:p w14:paraId="70A749F8" w14:textId="77777777" w:rsidR="000C649E" w:rsidRPr="000F53C8" w:rsidRDefault="000C649E" w:rsidP="000C649E">
      <w:pPr>
        <w:rPr>
          <w:lang w:val="en-GB"/>
        </w:rPr>
      </w:pPr>
      <w:r w:rsidRPr="000F53C8">
        <w:rPr>
          <w:u w:val="single"/>
          <w:lang w:val="en-GB"/>
        </w:rPr>
        <w:t>Recommendation:</w:t>
      </w:r>
      <w:r w:rsidRPr="000F53C8">
        <w:rPr>
          <w:lang w:val="en-GB"/>
        </w:rPr>
        <w:t xml:space="preserve"> Involve universities and research institutions in the four countries in research activities to be carried out as part of a transboundary cooperation project.</w:t>
      </w:r>
    </w:p>
    <w:p w14:paraId="59326F49" w14:textId="77777777" w:rsidR="000C649E" w:rsidRPr="000F53C8" w:rsidRDefault="000C649E" w:rsidP="000C649E">
      <w:pPr>
        <w:pStyle w:val="Heading4"/>
        <w:numPr>
          <w:ilvl w:val="0"/>
          <w:numId w:val="20"/>
        </w:numPr>
        <w:spacing w:before="40" w:after="0"/>
        <w:rPr>
          <w:lang w:val="en-GB"/>
        </w:rPr>
      </w:pPr>
      <w:bookmarkStart w:id="36" w:name="_Toc54022766"/>
      <w:r w:rsidRPr="000F53C8">
        <w:rPr>
          <w:lang w:val="en-GB"/>
        </w:rPr>
        <w:t>Professional training</w:t>
      </w:r>
      <w:bookmarkEnd w:id="36"/>
    </w:p>
    <w:p w14:paraId="7EE41F14" w14:textId="77777777" w:rsidR="000C649E" w:rsidRPr="000F53C8" w:rsidRDefault="000C649E" w:rsidP="000C649E">
      <w:pPr>
        <w:rPr>
          <w:lang w:val="en-GB"/>
        </w:rPr>
      </w:pPr>
      <w:r w:rsidRPr="000F53C8">
        <w:rPr>
          <w:lang w:val="en-GB"/>
        </w:rPr>
        <w:t>Some interviewees have highlighted the need for professional training on groundwater management.</w:t>
      </w:r>
    </w:p>
    <w:p w14:paraId="1089411F" w14:textId="77777777" w:rsidR="000C649E" w:rsidRPr="000F53C8" w:rsidRDefault="000C649E" w:rsidP="000C649E">
      <w:pPr>
        <w:rPr>
          <w:u w:val="single"/>
          <w:lang w:val="en-GB"/>
        </w:rPr>
      </w:pPr>
    </w:p>
    <w:p w14:paraId="7C9409AA" w14:textId="77777777" w:rsidR="000C649E" w:rsidRPr="000F53C8" w:rsidRDefault="000C649E" w:rsidP="000C649E">
      <w:pPr>
        <w:rPr>
          <w:lang w:val="en-GB"/>
        </w:rPr>
      </w:pPr>
      <w:r w:rsidRPr="000F53C8">
        <w:rPr>
          <w:u w:val="single"/>
          <w:lang w:val="en-GB"/>
        </w:rPr>
        <w:t>Recommendation:</w:t>
      </w:r>
      <w:r w:rsidRPr="000F53C8">
        <w:rPr>
          <w:lang w:val="en-GB"/>
        </w:rPr>
        <w:t xml:space="preserve"> Develop professional trainings on groundwater science and groundwater management in French and in English for the staff of the institutions engaged in groundwater management. As French is less popular among the young generations in Guinea-Bissau, training could also be provided in Portuguese. The trainings could address the basics of hydrogeology, GIS for groundwater applications, database management, groundwater monitoring, lab and field techniques, etc.</w:t>
      </w:r>
    </w:p>
    <w:p w14:paraId="009A0E30" w14:textId="77777777" w:rsidR="000C649E" w:rsidRPr="000F53C8" w:rsidRDefault="000C649E" w:rsidP="000C649E">
      <w:pPr>
        <w:pStyle w:val="Heading4"/>
        <w:numPr>
          <w:ilvl w:val="0"/>
          <w:numId w:val="20"/>
        </w:numPr>
        <w:spacing w:before="40" w:after="0"/>
        <w:rPr>
          <w:lang w:val="en-GB"/>
        </w:rPr>
      </w:pPr>
      <w:bookmarkStart w:id="37" w:name="_Toc54022767"/>
      <w:r w:rsidRPr="000F53C8">
        <w:rPr>
          <w:lang w:val="en-GB"/>
        </w:rPr>
        <w:t>Sustainable financing</w:t>
      </w:r>
      <w:bookmarkEnd w:id="37"/>
    </w:p>
    <w:p w14:paraId="311F063B" w14:textId="77777777" w:rsidR="000C649E" w:rsidRPr="000F53C8" w:rsidRDefault="000C649E" w:rsidP="000C649E">
      <w:pPr>
        <w:rPr>
          <w:lang w:val="en-GB"/>
        </w:rPr>
      </w:pPr>
      <w:r w:rsidRPr="000F53C8">
        <w:rPr>
          <w:lang w:val="en-GB"/>
        </w:rPr>
        <w:t xml:space="preserve">One issue pertaining many issues mentioned above is the insufficient financing of groundwater management activities. </w:t>
      </w:r>
    </w:p>
    <w:p w14:paraId="1884D198" w14:textId="77777777" w:rsidR="000C649E" w:rsidRPr="000F53C8" w:rsidRDefault="000C649E" w:rsidP="000C649E">
      <w:pPr>
        <w:rPr>
          <w:u w:val="single"/>
          <w:lang w:val="en-GB"/>
        </w:rPr>
      </w:pPr>
      <w:r w:rsidRPr="000F53C8">
        <w:rPr>
          <w:u w:val="single"/>
          <w:lang w:val="en-GB"/>
        </w:rPr>
        <w:t>Recommendation:</w:t>
      </w:r>
      <w:r w:rsidRPr="000F53C8">
        <w:rPr>
          <w:lang w:val="en-GB"/>
        </w:rPr>
        <w:t xml:space="preserve"> Several recommendations mentioned above could be implemented in a couple of years as part of a regional cooperation project. They could lead to a significant improvement of the situation. In parallel, there could be some thinking among the parties to identify options for long-term financing of activities, like for example the collection of borehole licensing fees.</w:t>
      </w:r>
    </w:p>
    <w:p w14:paraId="7452DD67" w14:textId="7C46D11B" w:rsidR="000C649E" w:rsidRPr="000F53C8" w:rsidRDefault="000C649E" w:rsidP="000C649E">
      <w:pPr>
        <w:rPr>
          <w:lang w:val="en-GB"/>
        </w:rPr>
      </w:pPr>
    </w:p>
    <w:p w14:paraId="42B9FC2A" w14:textId="36E40327" w:rsidR="000C649E" w:rsidRPr="000F53C8" w:rsidRDefault="000C649E" w:rsidP="006B609F">
      <w:pPr>
        <w:pStyle w:val="Caption"/>
        <w:keepNext/>
        <w:ind w:left="-567"/>
        <w:rPr>
          <w:lang w:val="en-GB"/>
        </w:rPr>
      </w:pPr>
      <w:bookmarkStart w:id="38" w:name="_Ref51075962"/>
      <w:r w:rsidRPr="000F53C8">
        <w:rPr>
          <w:lang w:val="en-GB"/>
        </w:rPr>
        <w:t xml:space="preserve">Table </w:t>
      </w:r>
      <w:bookmarkEnd w:id="38"/>
      <w:r w:rsidR="006B609F" w:rsidRPr="000F53C8">
        <w:rPr>
          <w:lang w:val="en-GB"/>
        </w:rPr>
        <w:t>2</w:t>
      </w:r>
      <w:r w:rsidRPr="000F53C8">
        <w:rPr>
          <w:lang w:val="en-GB"/>
        </w:rPr>
        <w:t xml:space="preserve"> Summary of reported issues</w:t>
      </w:r>
    </w:p>
    <w:tbl>
      <w:tblPr>
        <w:tblStyle w:val="TableGrid"/>
        <w:tblW w:w="5297" w:type="pct"/>
        <w:tblInd w:w="-572" w:type="dxa"/>
        <w:tblLook w:val="04A0" w:firstRow="1" w:lastRow="0" w:firstColumn="1" w:lastColumn="0" w:noHBand="0" w:noVBand="1"/>
      </w:tblPr>
      <w:tblGrid>
        <w:gridCol w:w="2041"/>
        <w:gridCol w:w="2041"/>
        <w:gridCol w:w="2040"/>
        <w:gridCol w:w="2040"/>
        <w:gridCol w:w="2040"/>
      </w:tblGrid>
      <w:tr w:rsidR="000C649E" w:rsidRPr="000F53C8" w14:paraId="1CDAFA97" w14:textId="77777777" w:rsidTr="006B609F">
        <w:tc>
          <w:tcPr>
            <w:tcW w:w="1000" w:type="pct"/>
            <w:tcBorders>
              <w:top w:val="single" w:sz="4" w:space="0" w:color="auto"/>
              <w:left w:val="single" w:sz="4" w:space="0" w:color="auto"/>
            </w:tcBorders>
            <w:shd w:val="clear" w:color="auto" w:fill="DEEAF6" w:themeFill="accent1" w:themeFillTint="33"/>
          </w:tcPr>
          <w:p w14:paraId="740BB511" w14:textId="77777777" w:rsidR="000C649E" w:rsidRPr="000F53C8" w:rsidRDefault="000C649E" w:rsidP="006068DD">
            <w:pPr>
              <w:spacing w:before="0" w:after="0"/>
              <w:ind w:left="28" w:firstLine="5"/>
              <w:jc w:val="left"/>
              <w:rPr>
                <w:b/>
                <w:bCs/>
                <w:lang w:val="en-GB"/>
              </w:rPr>
            </w:pPr>
            <w:r w:rsidRPr="000F53C8">
              <w:rPr>
                <w:b/>
                <w:bCs/>
                <w:lang w:val="en-GB"/>
              </w:rPr>
              <w:t>Issues</w:t>
            </w:r>
          </w:p>
        </w:tc>
        <w:tc>
          <w:tcPr>
            <w:tcW w:w="1000" w:type="pct"/>
            <w:shd w:val="clear" w:color="auto" w:fill="DEEAF6" w:themeFill="accent1" w:themeFillTint="33"/>
          </w:tcPr>
          <w:p w14:paraId="002E36E7" w14:textId="77777777" w:rsidR="000C649E" w:rsidRPr="000F53C8" w:rsidRDefault="000C649E" w:rsidP="006068DD">
            <w:pPr>
              <w:spacing w:before="0" w:after="0"/>
              <w:ind w:left="0" w:right="18"/>
              <w:jc w:val="center"/>
              <w:rPr>
                <w:b/>
                <w:bCs/>
                <w:lang w:val="en-GB"/>
              </w:rPr>
            </w:pPr>
            <w:r w:rsidRPr="000F53C8">
              <w:rPr>
                <w:b/>
                <w:bCs/>
                <w:lang w:val="en-GB"/>
              </w:rPr>
              <w:t>Gambia</w:t>
            </w:r>
          </w:p>
        </w:tc>
        <w:tc>
          <w:tcPr>
            <w:tcW w:w="1000" w:type="pct"/>
            <w:shd w:val="clear" w:color="auto" w:fill="DEEAF6" w:themeFill="accent1" w:themeFillTint="33"/>
          </w:tcPr>
          <w:p w14:paraId="07FCFAC9" w14:textId="77777777" w:rsidR="000C649E" w:rsidRPr="000F53C8" w:rsidRDefault="000C649E" w:rsidP="006068DD">
            <w:pPr>
              <w:spacing w:before="0" w:after="0"/>
              <w:ind w:left="0" w:right="18"/>
              <w:jc w:val="center"/>
              <w:rPr>
                <w:b/>
                <w:bCs/>
                <w:lang w:val="en-GB"/>
              </w:rPr>
            </w:pPr>
            <w:r w:rsidRPr="000F53C8">
              <w:rPr>
                <w:b/>
                <w:bCs/>
                <w:lang w:val="en-GB"/>
              </w:rPr>
              <w:t>Guinea-Bissau</w:t>
            </w:r>
          </w:p>
        </w:tc>
        <w:tc>
          <w:tcPr>
            <w:tcW w:w="1000" w:type="pct"/>
            <w:shd w:val="clear" w:color="auto" w:fill="DEEAF6" w:themeFill="accent1" w:themeFillTint="33"/>
          </w:tcPr>
          <w:p w14:paraId="0F2DB3B6" w14:textId="77777777" w:rsidR="000C649E" w:rsidRPr="000F53C8" w:rsidRDefault="000C649E" w:rsidP="006068DD">
            <w:pPr>
              <w:spacing w:before="0" w:after="0"/>
              <w:ind w:left="0" w:right="18"/>
              <w:jc w:val="center"/>
              <w:rPr>
                <w:b/>
                <w:bCs/>
                <w:lang w:val="en-GB"/>
              </w:rPr>
            </w:pPr>
            <w:r w:rsidRPr="000F53C8">
              <w:rPr>
                <w:b/>
                <w:bCs/>
                <w:lang w:val="en-GB"/>
              </w:rPr>
              <w:t>Mauritania</w:t>
            </w:r>
          </w:p>
        </w:tc>
        <w:tc>
          <w:tcPr>
            <w:tcW w:w="1000" w:type="pct"/>
            <w:shd w:val="clear" w:color="auto" w:fill="DEEAF6" w:themeFill="accent1" w:themeFillTint="33"/>
          </w:tcPr>
          <w:p w14:paraId="675401EE" w14:textId="77777777" w:rsidR="000C649E" w:rsidRPr="000F53C8" w:rsidRDefault="000C649E" w:rsidP="006068DD">
            <w:pPr>
              <w:spacing w:before="0" w:after="0"/>
              <w:ind w:left="0" w:right="18"/>
              <w:jc w:val="center"/>
              <w:rPr>
                <w:b/>
                <w:bCs/>
                <w:lang w:val="en-GB"/>
              </w:rPr>
            </w:pPr>
            <w:r w:rsidRPr="000F53C8">
              <w:rPr>
                <w:b/>
                <w:bCs/>
                <w:lang w:val="en-GB"/>
              </w:rPr>
              <w:t>Senegal</w:t>
            </w:r>
          </w:p>
        </w:tc>
      </w:tr>
      <w:tr w:rsidR="000C649E" w:rsidRPr="000F53C8" w14:paraId="25510E59" w14:textId="77777777" w:rsidTr="006B609F">
        <w:tc>
          <w:tcPr>
            <w:tcW w:w="1000" w:type="pct"/>
          </w:tcPr>
          <w:p w14:paraId="17CC3D0A" w14:textId="77777777" w:rsidR="000C649E" w:rsidRPr="000F53C8" w:rsidRDefault="000C649E" w:rsidP="006068DD">
            <w:pPr>
              <w:spacing w:before="0" w:after="0"/>
              <w:ind w:left="28" w:firstLine="5"/>
              <w:jc w:val="left"/>
              <w:rPr>
                <w:lang w:val="en-GB"/>
              </w:rPr>
            </w:pPr>
            <w:r w:rsidRPr="000F53C8">
              <w:rPr>
                <w:lang w:val="en-GB"/>
              </w:rPr>
              <w:t>Over-abstraction</w:t>
            </w:r>
          </w:p>
        </w:tc>
        <w:tc>
          <w:tcPr>
            <w:tcW w:w="1000" w:type="pct"/>
          </w:tcPr>
          <w:p w14:paraId="114E555E"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052DBB7D"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467E50B3" w14:textId="77777777" w:rsidR="000C649E" w:rsidRPr="000F53C8" w:rsidRDefault="000C649E" w:rsidP="006068DD">
            <w:pPr>
              <w:spacing w:before="0" w:after="0"/>
              <w:ind w:left="0" w:right="18"/>
              <w:jc w:val="center"/>
              <w:rPr>
                <w:lang w:val="en-GB"/>
              </w:rPr>
            </w:pPr>
          </w:p>
        </w:tc>
        <w:tc>
          <w:tcPr>
            <w:tcW w:w="1000" w:type="pct"/>
          </w:tcPr>
          <w:p w14:paraId="76EAB5E5" w14:textId="77777777" w:rsidR="000C649E" w:rsidRPr="000F53C8" w:rsidRDefault="000C649E" w:rsidP="006068DD">
            <w:pPr>
              <w:spacing w:before="0" w:after="0"/>
              <w:ind w:left="0" w:right="18"/>
              <w:jc w:val="center"/>
              <w:rPr>
                <w:lang w:val="en-GB"/>
              </w:rPr>
            </w:pPr>
            <w:r w:rsidRPr="000F53C8">
              <w:rPr>
                <w:lang w:val="en-GB"/>
              </w:rPr>
              <w:t>x</w:t>
            </w:r>
          </w:p>
        </w:tc>
      </w:tr>
      <w:tr w:rsidR="000C649E" w:rsidRPr="002F6D03" w14:paraId="7A750890" w14:textId="77777777" w:rsidTr="006B609F">
        <w:tc>
          <w:tcPr>
            <w:tcW w:w="1000" w:type="pct"/>
          </w:tcPr>
          <w:p w14:paraId="31A0456C" w14:textId="77777777" w:rsidR="000C649E" w:rsidRPr="000F53C8" w:rsidRDefault="000C649E" w:rsidP="006068DD">
            <w:pPr>
              <w:spacing w:before="0" w:after="0"/>
              <w:ind w:left="28" w:firstLine="5"/>
              <w:jc w:val="left"/>
              <w:rPr>
                <w:lang w:val="en-GB"/>
              </w:rPr>
            </w:pPr>
            <w:r w:rsidRPr="000F53C8">
              <w:rPr>
                <w:lang w:val="en-GB"/>
              </w:rPr>
              <w:t>Natural contamination</w:t>
            </w:r>
          </w:p>
        </w:tc>
        <w:tc>
          <w:tcPr>
            <w:tcW w:w="1000" w:type="pct"/>
          </w:tcPr>
          <w:p w14:paraId="6C9418F2" w14:textId="77777777" w:rsidR="000C649E" w:rsidRPr="000F53C8" w:rsidRDefault="000C649E" w:rsidP="006068DD">
            <w:pPr>
              <w:spacing w:before="0" w:after="0"/>
              <w:ind w:left="0" w:right="18"/>
              <w:jc w:val="left"/>
              <w:rPr>
                <w:lang w:val="en-GB"/>
              </w:rPr>
            </w:pPr>
            <w:r w:rsidRPr="000F53C8">
              <w:rPr>
                <w:lang w:val="en-GB"/>
              </w:rPr>
              <w:t>iron, manganese (west), salinity (coast)</w:t>
            </w:r>
          </w:p>
        </w:tc>
        <w:tc>
          <w:tcPr>
            <w:tcW w:w="1000" w:type="pct"/>
          </w:tcPr>
          <w:p w14:paraId="088DFE85" w14:textId="1CA1F284" w:rsidR="000C649E" w:rsidRPr="000F53C8" w:rsidRDefault="000C649E" w:rsidP="006068DD">
            <w:pPr>
              <w:spacing w:before="0" w:after="0"/>
              <w:ind w:left="0" w:right="18"/>
              <w:jc w:val="left"/>
              <w:rPr>
                <w:lang w:val="en-GB"/>
              </w:rPr>
            </w:pPr>
            <w:r w:rsidRPr="000F53C8">
              <w:rPr>
                <w:lang w:val="en-GB"/>
              </w:rPr>
              <w:t>iron (Oio region</w:t>
            </w:r>
            <w:r w:rsidR="00146C2B">
              <w:rPr>
                <w:lang w:val="en-GB"/>
              </w:rPr>
              <w:t xml:space="preserve"> and South</w:t>
            </w:r>
            <w:r w:rsidRPr="000F53C8">
              <w:rPr>
                <w:lang w:val="en-GB"/>
              </w:rPr>
              <w:t>), phosphate (north), salinity (coast)</w:t>
            </w:r>
          </w:p>
        </w:tc>
        <w:tc>
          <w:tcPr>
            <w:tcW w:w="1000" w:type="pct"/>
          </w:tcPr>
          <w:p w14:paraId="4A69D882" w14:textId="77777777" w:rsidR="000C649E" w:rsidRPr="000F53C8" w:rsidRDefault="000C649E" w:rsidP="006068DD">
            <w:pPr>
              <w:spacing w:before="0" w:after="0"/>
              <w:ind w:left="0" w:right="18"/>
              <w:jc w:val="left"/>
              <w:rPr>
                <w:lang w:val="en-GB"/>
              </w:rPr>
            </w:pPr>
            <w:r w:rsidRPr="000F53C8">
              <w:rPr>
                <w:lang w:val="en-GB"/>
              </w:rPr>
              <w:t>salinity (Senegal river valley), iron and manganese</w:t>
            </w:r>
          </w:p>
        </w:tc>
        <w:tc>
          <w:tcPr>
            <w:tcW w:w="1000" w:type="pct"/>
          </w:tcPr>
          <w:p w14:paraId="59A3C2CD" w14:textId="77777777" w:rsidR="000C649E" w:rsidRPr="000F53C8" w:rsidRDefault="000C649E" w:rsidP="006068DD">
            <w:pPr>
              <w:spacing w:before="0" w:after="0"/>
              <w:ind w:left="0" w:right="18"/>
              <w:jc w:val="left"/>
              <w:rPr>
                <w:lang w:val="en-GB"/>
              </w:rPr>
            </w:pPr>
            <w:r w:rsidRPr="000F53C8">
              <w:rPr>
                <w:lang w:val="en-GB"/>
              </w:rPr>
              <w:t>fluorine, iron, salinity (coast, Senegal river delta)</w:t>
            </w:r>
          </w:p>
        </w:tc>
      </w:tr>
      <w:tr w:rsidR="000C649E" w:rsidRPr="002F6D03" w14:paraId="5A16C447" w14:textId="77777777" w:rsidTr="006B609F">
        <w:tc>
          <w:tcPr>
            <w:tcW w:w="1000" w:type="pct"/>
          </w:tcPr>
          <w:p w14:paraId="76D67133" w14:textId="77777777" w:rsidR="000C649E" w:rsidRPr="000F53C8" w:rsidRDefault="000C649E" w:rsidP="006068DD">
            <w:pPr>
              <w:spacing w:before="0" w:after="0"/>
              <w:ind w:left="28" w:firstLine="5"/>
              <w:jc w:val="left"/>
              <w:rPr>
                <w:lang w:val="en-GB"/>
              </w:rPr>
            </w:pPr>
            <w:r w:rsidRPr="000F53C8">
              <w:rPr>
                <w:lang w:val="en-GB"/>
              </w:rPr>
              <w:t>Anthropogenic contamination</w:t>
            </w:r>
          </w:p>
        </w:tc>
        <w:tc>
          <w:tcPr>
            <w:tcW w:w="1000" w:type="pct"/>
          </w:tcPr>
          <w:p w14:paraId="1BC19928" w14:textId="77777777" w:rsidR="000C649E" w:rsidRPr="000F53C8" w:rsidRDefault="000C649E" w:rsidP="006068DD">
            <w:pPr>
              <w:spacing w:before="0" w:after="0"/>
              <w:ind w:left="0" w:right="18"/>
              <w:jc w:val="left"/>
              <w:rPr>
                <w:lang w:val="en-GB"/>
              </w:rPr>
            </w:pPr>
            <w:r w:rsidRPr="000F53C8">
              <w:rPr>
                <w:lang w:val="en-GB"/>
              </w:rPr>
              <w:t>faecal contaminants, nitrates</w:t>
            </w:r>
          </w:p>
        </w:tc>
        <w:tc>
          <w:tcPr>
            <w:tcW w:w="1000" w:type="pct"/>
          </w:tcPr>
          <w:p w14:paraId="6D1D4F19" w14:textId="77777777" w:rsidR="000C649E" w:rsidRPr="000F53C8" w:rsidRDefault="000C649E" w:rsidP="006068DD">
            <w:pPr>
              <w:spacing w:before="0" w:after="0"/>
              <w:ind w:left="0" w:right="18"/>
              <w:jc w:val="left"/>
              <w:rPr>
                <w:lang w:val="en-GB"/>
              </w:rPr>
            </w:pPr>
            <w:r w:rsidRPr="000F53C8">
              <w:rPr>
                <w:lang w:val="en-GB"/>
              </w:rPr>
              <w:t>risk of pollution in Maastrichtian due to illegal private boreholes</w:t>
            </w:r>
          </w:p>
        </w:tc>
        <w:tc>
          <w:tcPr>
            <w:tcW w:w="1000" w:type="pct"/>
          </w:tcPr>
          <w:p w14:paraId="18705B6F" w14:textId="77777777" w:rsidR="000C649E" w:rsidRPr="000F53C8" w:rsidRDefault="000C649E" w:rsidP="006068DD">
            <w:pPr>
              <w:spacing w:before="0" w:after="0"/>
              <w:ind w:left="0" w:right="18"/>
              <w:jc w:val="left"/>
              <w:rPr>
                <w:lang w:val="en-GB"/>
              </w:rPr>
            </w:pPr>
            <w:r w:rsidRPr="000F53C8">
              <w:rPr>
                <w:lang w:val="en-GB"/>
              </w:rPr>
              <w:t>traditional gold mining</w:t>
            </w:r>
          </w:p>
        </w:tc>
        <w:tc>
          <w:tcPr>
            <w:tcW w:w="1000" w:type="pct"/>
          </w:tcPr>
          <w:p w14:paraId="297073CA" w14:textId="77777777" w:rsidR="000C649E" w:rsidRPr="000F53C8" w:rsidRDefault="000C649E" w:rsidP="006068DD">
            <w:pPr>
              <w:spacing w:before="0" w:after="0"/>
              <w:ind w:left="0" w:right="18"/>
              <w:jc w:val="left"/>
              <w:rPr>
                <w:lang w:val="en-GB"/>
              </w:rPr>
            </w:pPr>
            <w:r w:rsidRPr="000F53C8">
              <w:rPr>
                <w:lang w:val="en-GB"/>
              </w:rPr>
              <w:t>agriculture (fertilizers and pesticides), industry, mines, domestic waste</w:t>
            </w:r>
          </w:p>
        </w:tc>
      </w:tr>
      <w:tr w:rsidR="000C649E" w:rsidRPr="000F53C8" w14:paraId="4F02CDD8" w14:textId="77777777" w:rsidTr="006B609F">
        <w:tc>
          <w:tcPr>
            <w:tcW w:w="1000" w:type="pct"/>
          </w:tcPr>
          <w:p w14:paraId="3674C4F7" w14:textId="77777777" w:rsidR="000C649E" w:rsidRPr="000F53C8" w:rsidRDefault="000C649E" w:rsidP="006068DD">
            <w:pPr>
              <w:spacing w:before="0" w:after="0"/>
              <w:ind w:left="28" w:firstLine="5"/>
              <w:jc w:val="left"/>
              <w:rPr>
                <w:lang w:val="en-GB"/>
              </w:rPr>
            </w:pPr>
            <w:r w:rsidRPr="000F53C8">
              <w:rPr>
                <w:lang w:val="en-GB"/>
              </w:rPr>
              <w:t>Seawater intrusion</w:t>
            </w:r>
          </w:p>
        </w:tc>
        <w:tc>
          <w:tcPr>
            <w:tcW w:w="1000" w:type="pct"/>
          </w:tcPr>
          <w:p w14:paraId="38B50428"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136D56DD"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64AA1813" w14:textId="77777777" w:rsidR="000C649E" w:rsidRPr="000F53C8" w:rsidRDefault="000C649E" w:rsidP="006068DD">
            <w:pPr>
              <w:spacing w:before="0" w:after="0"/>
              <w:ind w:left="0" w:right="18"/>
              <w:jc w:val="left"/>
              <w:rPr>
                <w:lang w:val="en-GB"/>
              </w:rPr>
            </w:pPr>
          </w:p>
        </w:tc>
        <w:tc>
          <w:tcPr>
            <w:tcW w:w="1000" w:type="pct"/>
          </w:tcPr>
          <w:p w14:paraId="6C6A8F27" w14:textId="77777777" w:rsidR="000C649E" w:rsidRPr="000F53C8" w:rsidRDefault="000C649E" w:rsidP="006068DD">
            <w:pPr>
              <w:spacing w:before="0" w:after="0"/>
              <w:ind w:left="0" w:right="18"/>
              <w:jc w:val="center"/>
              <w:rPr>
                <w:lang w:val="en-GB"/>
              </w:rPr>
            </w:pPr>
            <w:r w:rsidRPr="000F53C8">
              <w:rPr>
                <w:lang w:val="en-GB"/>
              </w:rPr>
              <w:t>x</w:t>
            </w:r>
          </w:p>
        </w:tc>
      </w:tr>
      <w:tr w:rsidR="000C649E" w:rsidRPr="000F53C8" w14:paraId="625DD99E" w14:textId="77777777" w:rsidTr="006B609F">
        <w:tc>
          <w:tcPr>
            <w:tcW w:w="1000" w:type="pct"/>
          </w:tcPr>
          <w:p w14:paraId="399FA8EB" w14:textId="77777777" w:rsidR="000C649E" w:rsidRPr="000F53C8" w:rsidRDefault="000C649E" w:rsidP="006068DD">
            <w:pPr>
              <w:spacing w:before="0" w:after="0"/>
              <w:ind w:left="28" w:firstLine="5"/>
              <w:jc w:val="left"/>
              <w:rPr>
                <w:lang w:val="en-GB"/>
              </w:rPr>
            </w:pPr>
            <w:r w:rsidRPr="000F53C8">
              <w:rPr>
                <w:lang w:val="en-GB"/>
              </w:rPr>
              <w:t>Depth of aquifer (for drilling)</w:t>
            </w:r>
          </w:p>
        </w:tc>
        <w:tc>
          <w:tcPr>
            <w:tcW w:w="1000" w:type="pct"/>
          </w:tcPr>
          <w:p w14:paraId="3D2003DB" w14:textId="77777777" w:rsidR="000C649E" w:rsidRPr="000F53C8" w:rsidRDefault="000C649E" w:rsidP="006068DD">
            <w:pPr>
              <w:spacing w:before="0" w:after="0"/>
              <w:ind w:left="0" w:right="18"/>
              <w:jc w:val="center"/>
              <w:rPr>
                <w:lang w:val="en-GB"/>
              </w:rPr>
            </w:pPr>
          </w:p>
        </w:tc>
        <w:tc>
          <w:tcPr>
            <w:tcW w:w="1000" w:type="pct"/>
          </w:tcPr>
          <w:p w14:paraId="1040C326" w14:textId="77777777" w:rsidR="000C649E" w:rsidRPr="000F53C8" w:rsidRDefault="000C649E" w:rsidP="006068DD">
            <w:pPr>
              <w:spacing w:before="0" w:after="0"/>
              <w:ind w:left="0" w:right="18"/>
              <w:jc w:val="center"/>
              <w:rPr>
                <w:lang w:val="en-GB"/>
              </w:rPr>
            </w:pPr>
          </w:p>
        </w:tc>
        <w:tc>
          <w:tcPr>
            <w:tcW w:w="1000" w:type="pct"/>
          </w:tcPr>
          <w:p w14:paraId="1F8B5370" w14:textId="77777777" w:rsidR="000C649E" w:rsidRPr="000F53C8" w:rsidRDefault="000C649E" w:rsidP="006068DD">
            <w:pPr>
              <w:spacing w:before="0" w:after="0"/>
              <w:ind w:left="0" w:right="18"/>
              <w:jc w:val="left"/>
              <w:rPr>
                <w:lang w:val="en-GB"/>
              </w:rPr>
            </w:pPr>
          </w:p>
        </w:tc>
        <w:tc>
          <w:tcPr>
            <w:tcW w:w="1000" w:type="pct"/>
          </w:tcPr>
          <w:p w14:paraId="3F0C9FDE" w14:textId="77777777" w:rsidR="000C649E" w:rsidRPr="000F53C8" w:rsidRDefault="000C649E" w:rsidP="006068DD">
            <w:pPr>
              <w:spacing w:before="0" w:after="0"/>
              <w:ind w:left="0" w:right="18"/>
              <w:jc w:val="center"/>
              <w:rPr>
                <w:lang w:val="en-GB"/>
              </w:rPr>
            </w:pPr>
            <w:r w:rsidRPr="000F53C8">
              <w:rPr>
                <w:lang w:val="en-GB"/>
              </w:rPr>
              <w:t>x</w:t>
            </w:r>
          </w:p>
        </w:tc>
      </w:tr>
      <w:tr w:rsidR="000C649E" w:rsidRPr="000F53C8" w14:paraId="54A78CFA" w14:textId="77777777" w:rsidTr="006B609F">
        <w:tc>
          <w:tcPr>
            <w:tcW w:w="1000" w:type="pct"/>
          </w:tcPr>
          <w:p w14:paraId="457277A9" w14:textId="77777777" w:rsidR="000C649E" w:rsidRPr="000F53C8" w:rsidRDefault="000C649E" w:rsidP="006068DD">
            <w:pPr>
              <w:spacing w:before="0" w:after="0"/>
              <w:ind w:left="28" w:firstLine="5"/>
              <w:jc w:val="left"/>
              <w:rPr>
                <w:lang w:val="en-GB"/>
              </w:rPr>
            </w:pPr>
            <w:r w:rsidRPr="000F53C8">
              <w:rPr>
                <w:lang w:val="en-GB"/>
              </w:rPr>
              <w:t>Lack of knowledge</w:t>
            </w:r>
          </w:p>
        </w:tc>
        <w:tc>
          <w:tcPr>
            <w:tcW w:w="1000" w:type="pct"/>
          </w:tcPr>
          <w:p w14:paraId="5365727F" w14:textId="77777777" w:rsidR="000C649E" w:rsidRPr="000F53C8" w:rsidRDefault="000C649E" w:rsidP="006068DD">
            <w:pPr>
              <w:spacing w:before="0" w:after="0"/>
              <w:ind w:left="0" w:right="18"/>
              <w:jc w:val="center"/>
              <w:rPr>
                <w:lang w:val="en-GB"/>
              </w:rPr>
            </w:pPr>
          </w:p>
        </w:tc>
        <w:tc>
          <w:tcPr>
            <w:tcW w:w="1000" w:type="pct"/>
          </w:tcPr>
          <w:p w14:paraId="75E665C0"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22DA5B02" w14:textId="77777777" w:rsidR="000C649E" w:rsidRPr="000F53C8" w:rsidRDefault="000C649E" w:rsidP="006068DD">
            <w:pPr>
              <w:spacing w:before="0" w:after="0"/>
              <w:ind w:left="0" w:right="18"/>
              <w:jc w:val="left"/>
              <w:rPr>
                <w:lang w:val="en-GB"/>
              </w:rPr>
            </w:pPr>
            <w:r w:rsidRPr="000F53C8">
              <w:rPr>
                <w:lang w:val="en-GB"/>
              </w:rPr>
              <w:t>delineation of aquifers, recharge, origin of salinity</w:t>
            </w:r>
          </w:p>
        </w:tc>
        <w:tc>
          <w:tcPr>
            <w:tcW w:w="1000" w:type="pct"/>
          </w:tcPr>
          <w:p w14:paraId="2DE210B4" w14:textId="77777777" w:rsidR="000C649E" w:rsidRPr="000F53C8" w:rsidRDefault="000C649E" w:rsidP="006068DD">
            <w:pPr>
              <w:spacing w:before="0" w:after="0"/>
              <w:ind w:left="0" w:right="18"/>
              <w:jc w:val="center"/>
              <w:rPr>
                <w:lang w:val="en-GB"/>
              </w:rPr>
            </w:pPr>
            <w:r w:rsidRPr="000F53C8">
              <w:rPr>
                <w:lang w:val="en-GB"/>
              </w:rPr>
              <w:t>x</w:t>
            </w:r>
          </w:p>
        </w:tc>
      </w:tr>
      <w:tr w:rsidR="000C649E" w:rsidRPr="000F53C8" w14:paraId="2B6BBAE0" w14:textId="77777777" w:rsidTr="006B609F">
        <w:tc>
          <w:tcPr>
            <w:tcW w:w="1000" w:type="pct"/>
          </w:tcPr>
          <w:p w14:paraId="3AD82684" w14:textId="77777777" w:rsidR="000C649E" w:rsidRPr="000F53C8" w:rsidRDefault="000C649E" w:rsidP="006068DD">
            <w:pPr>
              <w:spacing w:before="0" w:after="0"/>
              <w:ind w:left="28" w:firstLine="5"/>
              <w:jc w:val="left"/>
              <w:rPr>
                <w:lang w:val="en-GB"/>
              </w:rPr>
            </w:pPr>
            <w:r w:rsidRPr="000F53C8">
              <w:rPr>
                <w:lang w:val="en-GB"/>
              </w:rPr>
              <w:t>Lack of capacity</w:t>
            </w:r>
          </w:p>
        </w:tc>
        <w:tc>
          <w:tcPr>
            <w:tcW w:w="1000" w:type="pct"/>
          </w:tcPr>
          <w:p w14:paraId="114A6BAD" w14:textId="77777777" w:rsidR="000C649E" w:rsidRPr="000F53C8" w:rsidRDefault="000C649E" w:rsidP="006068DD">
            <w:pPr>
              <w:spacing w:before="0" w:after="0"/>
              <w:ind w:left="0" w:right="18"/>
              <w:jc w:val="center"/>
              <w:rPr>
                <w:lang w:val="en-GB"/>
              </w:rPr>
            </w:pPr>
          </w:p>
        </w:tc>
        <w:tc>
          <w:tcPr>
            <w:tcW w:w="1000" w:type="pct"/>
          </w:tcPr>
          <w:p w14:paraId="6F117787"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0C237247"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46E3C790" w14:textId="77777777" w:rsidR="000C649E" w:rsidRPr="000F53C8" w:rsidRDefault="000C649E" w:rsidP="006068DD">
            <w:pPr>
              <w:spacing w:before="0" w:after="0"/>
              <w:ind w:left="0" w:right="18"/>
              <w:jc w:val="center"/>
              <w:rPr>
                <w:lang w:val="en-GB"/>
              </w:rPr>
            </w:pPr>
            <w:r w:rsidRPr="000F53C8">
              <w:rPr>
                <w:lang w:val="en-GB"/>
              </w:rPr>
              <w:t>x</w:t>
            </w:r>
          </w:p>
        </w:tc>
      </w:tr>
      <w:tr w:rsidR="000C649E" w:rsidRPr="000F53C8" w14:paraId="43E8109B" w14:textId="77777777" w:rsidTr="006B609F">
        <w:tc>
          <w:tcPr>
            <w:tcW w:w="1000" w:type="pct"/>
          </w:tcPr>
          <w:p w14:paraId="5EECFBDD" w14:textId="77777777" w:rsidR="000C649E" w:rsidRPr="000F53C8" w:rsidRDefault="000C649E" w:rsidP="006068DD">
            <w:pPr>
              <w:spacing w:before="0" w:after="0"/>
              <w:ind w:left="28" w:firstLine="5"/>
              <w:jc w:val="left"/>
              <w:rPr>
                <w:lang w:val="en-GB"/>
              </w:rPr>
            </w:pPr>
            <w:r w:rsidRPr="000F53C8">
              <w:rPr>
                <w:lang w:val="en-GB"/>
              </w:rPr>
              <w:t>No awareness among decision-makers</w:t>
            </w:r>
          </w:p>
        </w:tc>
        <w:tc>
          <w:tcPr>
            <w:tcW w:w="1000" w:type="pct"/>
          </w:tcPr>
          <w:p w14:paraId="44873AFB"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12EE8607"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63988206" w14:textId="77777777" w:rsidR="000C649E" w:rsidRPr="000F53C8" w:rsidRDefault="000C649E" w:rsidP="006068DD">
            <w:pPr>
              <w:spacing w:before="0" w:after="0"/>
              <w:ind w:left="0" w:right="18"/>
              <w:jc w:val="center"/>
              <w:rPr>
                <w:lang w:val="en-GB"/>
              </w:rPr>
            </w:pPr>
          </w:p>
        </w:tc>
        <w:tc>
          <w:tcPr>
            <w:tcW w:w="1000" w:type="pct"/>
          </w:tcPr>
          <w:p w14:paraId="6CC104F5" w14:textId="77777777" w:rsidR="000C649E" w:rsidRPr="000F53C8" w:rsidRDefault="000C649E" w:rsidP="006068DD">
            <w:pPr>
              <w:spacing w:before="0" w:after="0"/>
              <w:ind w:left="0" w:right="18"/>
              <w:jc w:val="center"/>
              <w:rPr>
                <w:lang w:val="en-GB"/>
              </w:rPr>
            </w:pPr>
          </w:p>
        </w:tc>
      </w:tr>
      <w:tr w:rsidR="000C649E" w:rsidRPr="000F53C8" w14:paraId="715CD996" w14:textId="77777777" w:rsidTr="006B609F">
        <w:tc>
          <w:tcPr>
            <w:tcW w:w="1000" w:type="pct"/>
          </w:tcPr>
          <w:p w14:paraId="38D1EFD6" w14:textId="77777777" w:rsidR="000C649E" w:rsidRPr="000F53C8" w:rsidRDefault="000C649E" w:rsidP="006068DD">
            <w:pPr>
              <w:spacing w:before="0" w:after="0"/>
              <w:ind w:left="28" w:firstLine="5"/>
              <w:jc w:val="left"/>
              <w:rPr>
                <w:lang w:val="en-GB"/>
              </w:rPr>
            </w:pPr>
            <w:r w:rsidRPr="000F53C8">
              <w:rPr>
                <w:lang w:val="en-GB"/>
              </w:rPr>
              <w:t>Lack of regulation</w:t>
            </w:r>
          </w:p>
        </w:tc>
        <w:tc>
          <w:tcPr>
            <w:tcW w:w="1000" w:type="pct"/>
          </w:tcPr>
          <w:p w14:paraId="68EAC34D" w14:textId="77777777" w:rsidR="000C649E" w:rsidRPr="000F53C8" w:rsidRDefault="000C649E" w:rsidP="006068DD">
            <w:pPr>
              <w:spacing w:before="0" w:after="0"/>
              <w:ind w:left="0" w:right="18"/>
              <w:jc w:val="center"/>
              <w:rPr>
                <w:lang w:val="en-GB"/>
              </w:rPr>
            </w:pPr>
          </w:p>
        </w:tc>
        <w:tc>
          <w:tcPr>
            <w:tcW w:w="1000" w:type="pct"/>
          </w:tcPr>
          <w:p w14:paraId="115343A8"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42573FF9" w14:textId="77777777" w:rsidR="000C649E" w:rsidRPr="000F53C8" w:rsidRDefault="000C649E" w:rsidP="006068DD">
            <w:pPr>
              <w:spacing w:before="0" w:after="0"/>
              <w:ind w:left="0" w:right="18"/>
              <w:jc w:val="center"/>
              <w:rPr>
                <w:lang w:val="en-GB"/>
              </w:rPr>
            </w:pPr>
          </w:p>
        </w:tc>
        <w:tc>
          <w:tcPr>
            <w:tcW w:w="1000" w:type="pct"/>
          </w:tcPr>
          <w:p w14:paraId="283E1949" w14:textId="77777777" w:rsidR="000C649E" w:rsidRPr="000F53C8" w:rsidRDefault="000C649E" w:rsidP="006068DD">
            <w:pPr>
              <w:spacing w:before="0" w:after="0"/>
              <w:ind w:left="0" w:right="18"/>
              <w:jc w:val="center"/>
              <w:rPr>
                <w:lang w:val="en-GB"/>
              </w:rPr>
            </w:pPr>
          </w:p>
        </w:tc>
      </w:tr>
      <w:tr w:rsidR="000C649E" w:rsidRPr="002F6D03" w14:paraId="0F8EA3B6" w14:textId="77777777" w:rsidTr="006B609F">
        <w:tc>
          <w:tcPr>
            <w:tcW w:w="1000" w:type="pct"/>
          </w:tcPr>
          <w:p w14:paraId="1214480E" w14:textId="77777777" w:rsidR="000C649E" w:rsidRPr="000F53C8" w:rsidRDefault="000C649E" w:rsidP="006068DD">
            <w:pPr>
              <w:spacing w:before="0" w:after="0"/>
              <w:ind w:left="28" w:firstLine="5"/>
              <w:jc w:val="left"/>
              <w:rPr>
                <w:lang w:val="en-GB"/>
              </w:rPr>
            </w:pPr>
            <w:r w:rsidRPr="000F53C8">
              <w:rPr>
                <w:lang w:val="en-GB"/>
              </w:rPr>
              <w:t>Ongoing reform of national water sector</w:t>
            </w:r>
          </w:p>
        </w:tc>
        <w:tc>
          <w:tcPr>
            <w:tcW w:w="1000" w:type="pct"/>
          </w:tcPr>
          <w:p w14:paraId="2F1CFE9A" w14:textId="77777777" w:rsidR="000C649E" w:rsidRPr="000F53C8" w:rsidRDefault="000C649E" w:rsidP="006068DD">
            <w:pPr>
              <w:spacing w:before="0" w:after="0"/>
              <w:ind w:left="0" w:right="18"/>
              <w:jc w:val="left"/>
              <w:rPr>
                <w:lang w:val="en-GB"/>
              </w:rPr>
            </w:pPr>
            <w:r w:rsidRPr="000F53C8">
              <w:rPr>
                <w:lang w:val="en-GB"/>
              </w:rPr>
              <w:t>National Water Sector Reform Project in 2015</w:t>
            </w:r>
          </w:p>
        </w:tc>
        <w:tc>
          <w:tcPr>
            <w:tcW w:w="1000" w:type="pct"/>
          </w:tcPr>
          <w:p w14:paraId="066038A9" w14:textId="77777777" w:rsidR="000C649E" w:rsidRPr="000F53C8" w:rsidRDefault="000C649E" w:rsidP="006068DD">
            <w:pPr>
              <w:spacing w:before="0" w:after="0"/>
              <w:ind w:left="0" w:right="18"/>
              <w:jc w:val="left"/>
              <w:rPr>
                <w:lang w:val="en-GB"/>
              </w:rPr>
            </w:pPr>
            <w:r w:rsidRPr="000F53C8">
              <w:rPr>
                <w:lang w:val="en-GB"/>
              </w:rPr>
              <w:t>multiple reforms that have not been adopted or implemented</w:t>
            </w:r>
          </w:p>
        </w:tc>
        <w:tc>
          <w:tcPr>
            <w:tcW w:w="1000" w:type="pct"/>
          </w:tcPr>
          <w:p w14:paraId="346A4F49" w14:textId="77777777" w:rsidR="000C649E" w:rsidRPr="000F53C8" w:rsidRDefault="000C649E" w:rsidP="006068DD">
            <w:pPr>
              <w:spacing w:before="0" w:after="0"/>
              <w:ind w:left="0" w:right="18"/>
              <w:jc w:val="left"/>
              <w:rPr>
                <w:lang w:val="en-GB"/>
              </w:rPr>
            </w:pPr>
            <w:r w:rsidRPr="000F53C8">
              <w:rPr>
                <w:lang w:val="en-GB"/>
              </w:rPr>
              <w:t>the Code de l’Eau is being revised</w:t>
            </w:r>
          </w:p>
        </w:tc>
        <w:tc>
          <w:tcPr>
            <w:tcW w:w="1000" w:type="pct"/>
          </w:tcPr>
          <w:p w14:paraId="6D707D95" w14:textId="77777777" w:rsidR="000C649E" w:rsidRPr="000F53C8" w:rsidRDefault="000C649E" w:rsidP="006068DD">
            <w:pPr>
              <w:spacing w:before="0" w:after="0"/>
              <w:ind w:left="0" w:right="18"/>
              <w:jc w:val="left"/>
              <w:rPr>
                <w:lang w:val="en-GB"/>
              </w:rPr>
            </w:pPr>
            <w:r w:rsidRPr="000F53C8">
              <w:rPr>
                <w:lang w:val="en-GB"/>
              </w:rPr>
              <w:t>creation of OLAC in 2018, with potential impact on DGPRE</w:t>
            </w:r>
          </w:p>
        </w:tc>
      </w:tr>
      <w:tr w:rsidR="000C649E" w:rsidRPr="000F53C8" w14:paraId="1E6F23A1" w14:textId="77777777" w:rsidTr="006B609F">
        <w:tc>
          <w:tcPr>
            <w:tcW w:w="1000" w:type="pct"/>
          </w:tcPr>
          <w:p w14:paraId="6E2B23DA" w14:textId="77777777" w:rsidR="000C649E" w:rsidRPr="000F53C8" w:rsidRDefault="000C649E" w:rsidP="006068DD">
            <w:pPr>
              <w:spacing w:before="0" w:after="0"/>
              <w:ind w:left="28" w:firstLine="5"/>
              <w:jc w:val="left"/>
              <w:rPr>
                <w:lang w:val="en-GB"/>
              </w:rPr>
            </w:pPr>
            <w:r w:rsidRPr="000F53C8">
              <w:rPr>
                <w:lang w:val="en-GB"/>
              </w:rPr>
              <w:t>Irregular / insufficient monitoring</w:t>
            </w:r>
          </w:p>
        </w:tc>
        <w:tc>
          <w:tcPr>
            <w:tcW w:w="1000" w:type="pct"/>
          </w:tcPr>
          <w:p w14:paraId="080B5EE1"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37439ACE"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3796AC19"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2A551E10" w14:textId="77777777" w:rsidR="000C649E" w:rsidRPr="000F53C8" w:rsidRDefault="000C649E" w:rsidP="006068DD">
            <w:pPr>
              <w:spacing w:before="0" w:after="0"/>
              <w:ind w:left="0" w:right="18"/>
              <w:jc w:val="center"/>
              <w:rPr>
                <w:lang w:val="en-GB"/>
              </w:rPr>
            </w:pPr>
            <w:r w:rsidRPr="000F53C8">
              <w:rPr>
                <w:lang w:val="en-GB"/>
              </w:rPr>
              <w:t>x</w:t>
            </w:r>
          </w:p>
        </w:tc>
      </w:tr>
      <w:tr w:rsidR="000C649E" w:rsidRPr="000F53C8" w14:paraId="1F4A99AF" w14:textId="77777777" w:rsidTr="006B609F">
        <w:tc>
          <w:tcPr>
            <w:tcW w:w="1000" w:type="pct"/>
          </w:tcPr>
          <w:p w14:paraId="28B6ACD5" w14:textId="77777777" w:rsidR="000C649E" w:rsidRPr="000F53C8" w:rsidRDefault="000C649E" w:rsidP="006068DD">
            <w:pPr>
              <w:spacing w:before="0" w:after="0"/>
              <w:ind w:left="28" w:firstLine="5"/>
              <w:jc w:val="left"/>
              <w:rPr>
                <w:lang w:val="en-GB"/>
              </w:rPr>
            </w:pPr>
            <w:r w:rsidRPr="000F53C8">
              <w:rPr>
                <w:lang w:val="en-GB"/>
              </w:rPr>
              <w:t>Difficult access to data</w:t>
            </w:r>
          </w:p>
        </w:tc>
        <w:tc>
          <w:tcPr>
            <w:tcW w:w="1000" w:type="pct"/>
          </w:tcPr>
          <w:p w14:paraId="03113CF3" w14:textId="77777777" w:rsidR="000C649E" w:rsidRPr="000F53C8" w:rsidRDefault="000C649E" w:rsidP="006068DD">
            <w:pPr>
              <w:spacing w:before="0" w:after="0"/>
              <w:ind w:left="0" w:right="18"/>
              <w:jc w:val="center"/>
              <w:rPr>
                <w:lang w:val="en-GB"/>
              </w:rPr>
            </w:pPr>
            <w:r w:rsidRPr="000F53C8">
              <w:rPr>
                <w:lang w:val="en-GB"/>
              </w:rPr>
              <w:t>Groundwater quality data</w:t>
            </w:r>
          </w:p>
        </w:tc>
        <w:tc>
          <w:tcPr>
            <w:tcW w:w="1000" w:type="pct"/>
          </w:tcPr>
          <w:p w14:paraId="475BFA63" w14:textId="77777777" w:rsidR="000C649E" w:rsidRPr="000F53C8" w:rsidRDefault="000C649E" w:rsidP="006068DD">
            <w:pPr>
              <w:spacing w:before="0" w:after="0"/>
              <w:ind w:left="0" w:right="18"/>
              <w:jc w:val="center"/>
              <w:rPr>
                <w:lang w:val="en-GB"/>
              </w:rPr>
            </w:pPr>
          </w:p>
        </w:tc>
        <w:tc>
          <w:tcPr>
            <w:tcW w:w="1000" w:type="pct"/>
          </w:tcPr>
          <w:p w14:paraId="2EA18614" w14:textId="77777777" w:rsidR="000C649E" w:rsidRPr="000F53C8" w:rsidRDefault="000C649E" w:rsidP="006068DD">
            <w:pPr>
              <w:spacing w:before="0" w:after="0"/>
              <w:ind w:left="0" w:right="18"/>
              <w:jc w:val="center"/>
              <w:rPr>
                <w:lang w:val="en-GB"/>
              </w:rPr>
            </w:pPr>
            <w:r w:rsidRPr="000F53C8">
              <w:rPr>
                <w:lang w:val="en-GB"/>
              </w:rPr>
              <w:t>National Park of Diawling</w:t>
            </w:r>
          </w:p>
        </w:tc>
        <w:tc>
          <w:tcPr>
            <w:tcW w:w="1000" w:type="pct"/>
          </w:tcPr>
          <w:p w14:paraId="05A17D25" w14:textId="77777777" w:rsidR="000C649E" w:rsidRPr="000F53C8" w:rsidRDefault="000C649E" w:rsidP="006068DD">
            <w:pPr>
              <w:spacing w:before="0" w:after="0"/>
              <w:ind w:left="0" w:right="18"/>
              <w:jc w:val="center"/>
              <w:rPr>
                <w:lang w:val="en-GB"/>
              </w:rPr>
            </w:pPr>
          </w:p>
        </w:tc>
      </w:tr>
      <w:tr w:rsidR="000C649E" w:rsidRPr="000F53C8" w14:paraId="0A3CC0DA" w14:textId="77777777" w:rsidTr="006B609F">
        <w:tc>
          <w:tcPr>
            <w:tcW w:w="1000" w:type="pct"/>
          </w:tcPr>
          <w:p w14:paraId="0BF68C9E" w14:textId="77777777" w:rsidR="000C649E" w:rsidRPr="000F53C8" w:rsidRDefault="000C649E" w:rsidP="006068DD">
            <w:pPr>
              <w:spacing w:before="0" w:after="0"/>
              <w:ind w:left="28" w:firstLine="5"/>
              <w:jc w:val="left"/>
              <w:rPr>
                <w:lang w:val="en-GB"/>
              </w:rPr>
            </w:pPr>
            <w:r w:rsidRPr="000F53C8">
              <w:rPr>
                <w:lang w:val="en-GB"/>
              </w:rPr>
              <w:t>Vandalism on observation boreholes</w:t>
            </w:r>
          </w:p>
        </w:tc>
        <w:tc>
          <w:tcPr>
            <w:tcW w:w="1000" w:type="pct"/>
          </w:tcPr>
          <w:p w14:paraId="0C7D4C2A" w14:textId="77777777" w:rsidR="000C649E" w:rsidRPr="000F53C8" w:rsidRDefault="000C649E" w:rsidP="006068DD">
            <w:pPr>
              <w:spacing w:before="0" w:after="0"/>
              <w:ind w:left="0" w:right="18"/>
              <w:jc w:val="center"/>
              <w:rPr>
                <w:lang w:val="en-GB"/>
              </w:rPr>
            </w:pPr>
          </w:p>
        </w:tc>
        <w:tc>
          <w:tcPr>
            <w:tcW w:w="1000" w:type="pct"/>
          </w:tcPr>
          <w:p w14:paraId="3DDF94AA" w14:textId="77777777" w:rsidR="000C649E" w:rsidRPr="000F53C8" w:rsidRDefault="000C649E" w:rsidP="006068DD">
            <w:pPr>
              <w:spacing w:before="0" w:after="0"/>
              <w:ind w:left="0" w:right="18"/>
              <w:jc w:val="center"/>
              <w:rPr>
                <w:lang w:val="en-GB"/>
              </w:rPr>
            </w:pPr>
          </w:p>
        </w:tc>
        <w:tc>
          <w:tcPr>
            <w:tcW w:w="1000" w:type="pct"/>
          </w:tcPr>
          <w:p w14:paraId="45571A72" w14:textId="77777777" w:rsidR="000C649E" w:rsidRPr="000F53C8" w:rsidRDefault="000C649E" w:rsidP="006068DD">
            <w:pPr>
              <w:spacing w:before="0" w:after="0"/>
              <w:ind w:left="0" w:right="18"/>
              <w:jc w:val="center"/>
              <w:rPr>
                <w:lang w:val="en-GB"/>
              </w:rPr>
            </w:pPr>
          </w:p>
        </w:tc>
        <w:tc>
          <w:tcPr>
            <w:tcW w:w="1000" w:type="pct"/>
          </w:tcPr>
          <w:p w14:paraId="399E5557" w14:textId="77777777" w:rsidR="000C649E" w:rsidRPr="000F53C8" w:rsidRDefault="000C649E" w:rsidP="006068DD">
            <w:pPr>
              <w:spacing w:before="0" w:after="0"/>
              <w:ind w:left="0" w:right="18"/>
              <w:jc w:val="center"/>
              <w:rPr>
                <w:lang w:val="en-GB"/>
              </w:rPr>
            </w:pPr>
            <w:r w:rsidRPr="000F53C8">
              <w:rPr>
                <w:lang w:val="en-GB"/>
              </w:rPr>
              <w:t>x</w:t>
            </w:r>
          </w:p>
        </w:tc>
      </w:tr>
      <w:tr w:rsidR="000C649E" w:rsidRPr="000F53C8" w14:paraId="5EB4CFF6" w14:textId="77777777" w:rsidTr="006B609F">
        <w:tc>
          <w:tcPr>
            <w:tcW w:w="1000" w:type="pct"/>
          </w:tcPr>
          <w:p w14:paraId="57BF214B" w14:textId="71E4BC27" w:rsidR="000C649E" w:rsidRPr="000F53C8" w:rsidRDefault="000C649E" w:rsidP="006068DD">
            <w:pPr>
              <w:spacing w:before="0" w:after="0"/>
              <w:ind w:left="28" w:firstLine="5"/>
              <w:jc w:val="left"/>
              <w:rPr>
                <w:lang w:val="en-GB"/>
              </w:rPr>
            </w:pPr>
            <w:r w:rsidRPr="000F53C8">
              <w:rPr>
                <w:lang w:val="en-GB"/>
              </w:rPr>
              <w:t>No protection zones around well</w:t>
            </w:r>
            <w:r w:rsidR="00820C78">
              <w:rPr>
                <w:lang w:val="en-GB"/>
              </w:rPr>
              <w:t>-</w:t>
            </w:r>
            <w:r w:rsidRPr="000F53C8">
              <w:rPr>
                <w:lang w:val="en-GB"/>
              </w:rPr>
              <w:t>fields</w:t>
            </w:r>
          </w:p>
        </w:tc>
        <w:tc>
          <w:tcPr>
            <w:tcW w:w="1000" w:type="pct"/>
          </w:tcPr>
          <w:p w14:paraId="5A6D19A1"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267D1819"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28122C0F" w14:textId="77777777" w:rsidR="000C649E" w:rsidRPr="000F53C8" w:rsidRDefault="000C649E" w:rsidP="006068DD">
            <w:pPr>
              <w:spacing w:before="0" w:after="0"/>
              <w:ind w:left="0" w:right="18"/>
              <w:jc w:val="center"/>
              <w:rPr>
                <w:lang w:val="en-GB"/>
              </w:rPr>
            </w:pPr>
          </w:p>
        </w:tc>
        <w:tc>
          <w:tcPr>
            <w:tcW w:w="1000" w:type="pct"/>
          </w:tcPr>
          <w:p w14:paraId="5C30FF08" w14:textId="77777777" w:rsidR="000C649E" w:rsidRPr="000F53C8" w:rsidRDefault="000C649E" w:rsidP="006068DD">
            <w:pPr>
              <w:spacing w:before="0" w:after="0"/>
              <w:ind w:left="0" w:right="18"/>
              <w:jc w:val="center"/>
              <w:rPr>
                <w:lang w:val="en-GB"/>
              </w:rPr>
            </w:pPr>
          </w:p>
        </w:tc>
      </w:tr>
      <w:tr w:rsidR="000C649E" w:rsidRPr="000F53C8" w14:paraId="79592450" w14:textId="77777777" w:rsidTr="006B609F">
        <w:tc>
          <w:tcPr>
            <w:tcW w:w="1000" w:type="pct"/>
          </w:tcPr>
          <w:p w14:paraId="599B0C72" w14:textId="77777777" w:rsidR="000C649E" w:rsidRPr="000F53C8" w:rsidRDefault="000C649E" w:rsidP="006068DD">
            <w:pPr>
              <w:spacing w:before="0" w:after="0"/>
              <w:ind w:left="28" w:firstLine="5"/>
              <w:jc w:val="left"/>
              <w:rPr>
                <w:lang w:val="en-GB"/>
              </w:rPr>
            </w:pPr>
            <w:r w:rsidRPr="000F53C8">
              <w:rPr>
                <w:lang w:val="en-GB"/>
              </w:rPr>
              <w:t>No updated inventory of wells</w:t>
            </w:r>
          </w:p>
        </w:tc>
        <w:tc>
          <w:tcPr>
            <w:tcW w:w="1000" w:type="pct"/>
          </w:tcPr>
          <w:p w14:paraId="2C3969D3"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319D9985"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0617634E"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4A494E99" w14:textId="77777777" w:rsidR="000C649E" w:rsidRPr="000F53C8" w:rsidRDefault="000C649E" w:rsidP="006068DD">
            <w:pPr>
              <w:spacing w:before="0" w:after="0"/>
              <w:ind w:left="0" w:right="18"/>
              <w:jc w:val="center"/>
              <w:rPr>
                <w:lang w:val="en-GB"/>
              </w:rPr>
            </w:pPr>
            <w:r w:rsidRPr="000F53C8">
              <w:rPr>
                <w:lang w:val="en-GB"/>
              </w:rPr>
              <w:t>x</w:t>
            </w:r>
          </w:p>
        </w:tc>
      </w:tr>
      <w:tr w:rsidR="000C649E" w:rsidRPr="000F53C8" w14:paraId="128DB4F2" w14:textId="77777777" w:rsidTr="006B609F">
        <w:tc>
          <w:tcPr>
            <w:tcW w:w="1000" w:type="pct"/>
          </w:tcPr>
          <w:p w14:paraId="6BD2FE02" w14:textId="77777777" w:rsidR="000C649E" w:rsidRPr="000F53C8" w:rsidRDefault="000C649E" w:rsidP="006068DD">
            <w:pPr>
              <w:spacing w:before="0" w:after="0"/>
              <w:ind w:left="28" w:firstLine="5"/>
              <w:jc w:val="left"/>
              <w:rPr>
                <w:lang w:val="en-GB"/>
              </w:rPr>
            </w:pPr>
            <w:r w:rsidRPr="000F53C8">
              <w:rPr>
                <w:lang w:val="en-GB"/>
              </w:rPr>
              <w:t>Lack of awareness in general public</w:t>
            </w:r>
          </w:p>
        </w:tc>
        <w:tc>
          <w:tcPr>
            <w:tcW w:w="1000" w:type="pct"/>
          </w:tcPr>
          <w:p w14:paraId="186770C4"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535DC12E" w14:textId="77777777" w:rsidR="000C649E" w:rsidRPr="000F53C8" w:rsidRDefault="000C649E" w:rsidP="006068DD">
            <w:pPr>
              <w:spacing w:before="0" w:after="0"/>
              <w:ind w:left="0" w:right="18"/>
              <w:jc w:val="center"/>
              <w:rPr>
                <w:lang w:val="en-GB"/>
              </w:rPr>
            </w:pPr>
          </w:p>
        </w:tc>
        <w:tc>
          <w:tcPr>
            <w:tcW w:w="1000" w:type="pct"/>
          </w:tcPr>
          <w:p w14:paraId="4EC8E178" w14:textId="77777777" w:rsidR="000C649E" w:rsidRPr="000F53C8" w:rsidRDefault="000C649E" w:rsidP="006068DD">
            <w:pPr>
              <w:spacing w:before="0" w:after="0"/>
              <w:ind w:left="0" w:right="18"/>
              <w:jc w:val="center"/>
              <w:rPr>
                <w:lang w:val="en-GB"/>
              </w:rPr>
            </w:pPr>
          </w:p>
        </w:tc>
        <w:tc>
          <w:tcPr>
            <w:tcW w:w="1000" w:type="pct"/>
          </w:tcPr>
          <w:p w14:paraId="0B7E97AE" w14:textId="77777777" w:rsidR="000C649E" w:rsidRPr="000F53C8" w:rsidRDefault="000C649E" w:rsidP="006068DD">
            <w:pPr>
              <w:spacing w:before="0" w:after="0"/>
              <w:ind w:left="0" w:right="18"/>
              <w:jc w:val="center"/>
              <w:rPr>
                <w:lang w:val="en-GB"/>
              </w:rPr>
            </w:pPr>
          </w:p>
        </w:tc>
      </w:tr>
      <w:tr w:rsidR="000C649E" w:rsidRPr="000F53C8" w14:paraId="5F4BBA34" w14:textId="77777777" w:rsidTr="006B609F">
        <w:tc>
          <w:tcPr>
            <w:tcW w:w="1000" w:type="pct"/>
          </w:tcPr>
          <w:p w14:paraId="61636D5F" w14:textId="77777777" w:rsidR="000C649E" w:rsidRPr="000F53C8" w:rsidRDefault="000C649E" w:rsidP="006068DD">
            <w:pPr>
              <w:spacing w:before="0" w:after="0"/>
              <w:ind w:left="28" w:firstLine="5"/>
              <w:jc w:val="left"/>
              <w:rPr>
                <w:lang w:val="en-GB"/>
              </w:rPr>
            </w:pPr>
            <w:r w:rsidRPr="000F53C8">
              <w:rPr>
                <w:lang w:val="en-GB"/>
              </w:rPr>
              <w:t>Deficient public water supply</w:t>
            </w:r>
          </w:p>
        </w:tc>
        <w:tc>
          <w:tcPr>
            <w:tcW w:w="1000" w:type="pct"/>
          </w:tcPr>
          <w:p w14:paraId="3E67BDF6" w14:textId="77777777" w:rsidR="000C649E" w:rsidRPr="000F53C8" w:rsidRDefault="000C649E" w:rsidP="006068DD">
            <w:pPr>
              <w:spacing w:before="0" w:after="0"/>
              <w:ind w:left="0" w:right="18"/>
              <w:jc w:val="center"/>
              <w:rPr>
                <w:lang w:val="en-GB"/>
              </w:rPr>
            </w:pPr>
            <w:r w:rsidRPr="000F53C8">
              <w:rPr>
                <w:lang w:val="en-GB"/>
              </w:rPr>
              <w:t>x</w:t>
            </w:r>
          </w:p>
        </w:tc>
        <w:tc>
          <w:tcPr>
            <w:tcW w:w="1000" w:type="pct"/>
          </w:tcPr>
          <w:p w14:paraId="2CEF6826" w14:textId="77777777" w:rsidR="000C649E" w:rsidRPr="000F53C8" w:rsidRDefault="000C649E" w:rsidP="006068DD">
            <w:pPr>
              <w:spacing w:before="0" w:after="0"/>
              <w:ind w:left="0" w:right="18"/>
              <w:jc w:val="center"/>
              <w:rPr>
                <w:lang w:val="en-GB"/>
              </w:rPr>
            </w:pPr>
          </w:p>
        </w:tc>
        <w:tc>
          <w:tcPr>
            <w:tcW w:w="1000" w:type="pct"/>
          </w:tcPr>
          <w:p w14:paraId="777B5537" w14:textId="77777777" w:rsidR="000C649E" w:rsidRPr="000F53C8" w:rsidRDefault="000C649E" w:rsidP="006068DD">
            <w:pPr>
              <w:spacing w:before="0" w:after="0"/>
              <w:ind w:left="0" w:right="18"/>
              <w:jc w:val="center"/>
              <w:rPr>
                <w:lang w:val="en-GB"/>
              </w:rPr>
            </w:pPr>
          </w:p>
        </w:tc>
        <w:tc>
          <w:tcPr>
            <w:tcW w:w="1000" w:type="pct"/>
          </w:tcPr>
          <w:p w14:paraId="51810FE6" w14:textId="77777777" w:rsidR="000C649E" w:rsidRPr="000F53C8" w:rsidRDefault="000C649E" w:rsidP="006068DD">
            <w:pPr>
              <w:spacing w:before="0" w:after="0"/>
              <w:ind w:left="0" w:right="18"/>
              <w:jc w:val="center"/>
              <w:rPr>
                <w:lang w:val="en-GB"/>
              </w:rPr>
            </w:pPr>
          </w:p>
        </w:tc>
      </w:tr>
    </w:tbl>
    <w:p w14:paraId="773339F3" w14:textId="77777777" w:rsidR="000C649E" w:rsidRPr="000F53C8" w:rsidRDefault="000C649E" w:rsidP="000C649E">
      <w:pPr>
        <w:rPr>
          <w:lang w:val="en-GB"/>
        </w:rPr>
      </w:pPr>
    </w:p>
    <w:p w14:paraId="0343100C" w14:textId="77777777" w:rsidR="000C649E" w:rsidRPr="000F53C8" w:rsidRDefault="000C649E" w:rsidP="000C649E">
      <w:pPr>
        <w:rPr>
          <w:lang w:val="en-GB"/>
        </w:rPr>
      </w:pPr>
    </w:p>
    <w:p w14:paraId="3ECB5E12" w14:textId="5F9310A9" w:rsidR="000C649E" w:rsidRPr="000F53C8" w:rsidRDefault="000C649E" w:rsidP="006B609F">
      <w:pPr>
        <w:pStyle w:val="Caption"/>
        <w:keepNext/>
        <w:ind w:left="-567"/>
        <w:rPr>
          <w:lang w:val="en-GB"/>
        </w:rPr>
      </w:pPr>
      <w:bookmarkStart w:id="39" w:name="_Ref51082308"/>
      <w:r w:rsidRPr="000F53C8">
        <w:rPr>
          <w:lang w:val="en-GB"/>
        </w:rPr>
        <w:t xml:space="preserve">Table </w:t>
      </w:r>
      <w:bookmarkEnd w:id="39"/>
      <w:r w:rsidR="006B609F" w:rsidRPr="000F53C8">
        <w:rPr>
          <w:lang w:val="en-GB"/>
        </w:rPr>
        <w:t>3</w:t>
      </w:r>
      <w:r w:rsidRPr="000F53C8">
        <w:rPr>
          <w:lang w:val="en-GB"/>
        </w:rPr>
        <w:t xml:space="preserve"> Status of groundwater monitoring in the countries</w:t>
      </w:r>
    </w:p>
    <w:tbl>
      <w:tblPr>
        <w:tblStyle w:val="TableGrid"/>
        <w:tblW w:w="10206" w:type="dxa"/>
        <w:tblInd w:w="-572" w:type="dxa"/>
        <w:tblLook w:val="04A0" w:firstRow="1" w:lastRow="0" w:firstColumn="1" w:lastColumn="0" w:noHBand="0" w:noVBand="1"/>
      </w:tblPr>
      <w:tblGrid>
        <w:gridCol w:w="2141"/>
        <w:gridCol w:w="1499"/>
        <w:gridCol w:w="1560"/>
        <w:gridCol w:w="1567"/>
        <w:gridCol w:w="1583"/>
        <w:gridCol w:w="1856"/>
      </w:tblGrid>
      <w:tr w:rsidR="000C649E" w:rsidRPr="000F53C8" w14:paraId="778557A0" w14:textId="77777777" w:rsidTr="006B609F">
        <w:tc>
          <w:tcPr>
            <w:tcW w:w="2141" w:type="dxa"/>
            <w:shd w:val="clear" w:color="auto" w:fill="DEEAF6" w:themeFill="accent1" w:themeFillTint="33"/>
            <w:vAlign w:val="center"/>
          </w:tcPr>
          <w:p w14:paraId="1AE4BDD9" w14:textId="77777777" w:rsidR="000C649E" w:rsidRPr="000F53C8" w:rsidRDefault="000C649E" w:rsidP="006068DD">
            <w:pPr>
              <w:spacing w:before="0" w:after="0"/>
              <w:ind w:left="0"/>
              <w:jc w:val="left"/>
              <w:rPr>
                <w:b/>
                <w:bCs/>
                <w:lang w:val="en-GB"/>
              </w:rPr>
            </w:pPr>
            <w:r w:rsidRPr="000F53C8">
              <w:rPr>
                <w:b/>
                <w:bCs/>
                <w:lang w:val="en-GB"/>
              </w:rPr>
              <w:t>Type of monitoring</w:t>
            </w:r>
          </w:p>
        </w:tc>
        <w:tc>
          <w:tcPr>
            <w:tcW w:w="1499" w:type="dxa"/>
            <w:shd w:val="clear" w:color="auto" w:fill="DEEAF6" w:themeFill="accent1" w:themeFillTint="33"/>
          </w:tcPr>
          <w:p w14:paraId="5453E820" w14:textId="77777777" w:rsidR="000C649E" w:rsidRPr="000F53C8" w:rsidRDefault="000C649E" w:rsidP="006068DD">
            <w:pPr>
              <w:spacing w:before="0" w:after="0"/>
              <w:ind w:left="18"/>
              <w:jc w:val="center"/>
              <w:rPr>
                <w:b/>
                <w:bCs/>
                <w:lang w:val="en-GB"/>
              </w:rPr>
            </w:pPr>
            <w:r w:rsidRPr="000F53C8">
              <w:rPr>
                <w:b/>
                <w:bCs/>
                <w:lang w:val="en-GB"/>
              </w:rPr>
              <w:t>Status</w:t>
            </w:r>
          </w:p>
        </w:tc>
        <w:tc>
          <w:tcPr>
            <w:tcW w:w="1560" w:type="dxa"/>
            <w:shd w:val="clear" w:color="auto" w:fill="DEEAF6" w:themeFill="accent1" w:themeFillTint="33"/>
          </w:tcPr>
          <w:p w14:paraId="31FCF99B" w14:textId="77777777" w:rsidR="000C649E" w:rsidRPr="000F53C8" w:rsidRDefault="000C649E" w:rsidP="006068DD">
            <w:pPr>
              <w:spacing w:before="0" w:after="0"/>
              <w:ind w:left="18"/>
              <w:jc w:val="center"/>
              <w:rPr>
                <w:lang w:val="en-GB"/>
              </w:rPr>
            </w:pPr>
            <w:r w:rsidRPr="000F53C8">
              <w:rPr>
                <w:b/>
                <w:bCs/>
                <w:lang w:val="en-GB"/>
              </w:rPr>
              <w:t>Gambia</w:t>
            </w:r>
          </w:p>
        </w:tc>
        <w:tc>
          <w:tcPr>
            <w:tcW w:w="1567" w:type="dxa"/>
            <w:shd w:val="clear" w:color="auto" w:fill="DEEAF6" w:themeFill="accent1" w:themeFillTint="33"/>
          </w:tcPr>
          <w:p w14:paraId="51006AF3" w14:textId="77777777" w:rsidR="000C649E" w:rsidRPr="000F53C8" w:rsidRDefault="000C649E" w:rsidP="006068DD">
            <w:pPr>
              <w:spacing w:before="0" w:after="0"/>
              <w:ind w:left="18"/>
              <w:jc w:val="center"/>
              <w:rPr>
                <w:lang w:val="en-GB"/>
              </w:rPr>
            </w:pPr>
            <w:r w:rsidRPr="000F53C8">
              <w:rPr>
                <w:b/>
                <w:bCs/>
                <w:lang w:val="en-GB"/>
              </w:rPr>
              <w:t>Guinea-Bissau</w:t>
            </w:r>
          </w:p>
        </w:tc>
        <w:tc>
          <w:tcPr>
            <w:tcW w:w="1583" w:type="dxa"/>
            <w:shd w:val="clear" w:color="auto" w:fill="DEEAF6" w:themeFill="accent1" w:themeFillTint="33"/>
          </w:tcPr>
          <w:p w14:paraId="1813DC99" w14:textId="77777777" w:rsidR="000C649E" w:rsidRPr="000F53C8" w:rsidRDefault="000C649E" w:rsidP="006068DD">
            <w:pPr>
              <w:spacing w:before="0" w:after="0"/>
              <w:ind w:left="18"/>
              <w:jc w:val="center"/>
              <w:rPr>
                <w:lang w:val="en-GB"/>
              </w:rPr>
            </w:pPr>
            <w:r w:rsidRPr="000F53C8">
              <w:rPr>
                <w:b/>
                <w:bCs/>
                <w:lang w:val="en-GB"/>
              </w:rPr>
              <w:t>Mauritania</w:t>
            </w:r>
          </w:p>
        </w:tc>
        <w:tc>
          <w:tcPr>
            <w:tcW w:w="1856" w:type="dxa"/>
            <w:shd w:val="clear" w:color="auto" w:fill="DEEAF6" w:themeFill="accent1" w:themeFillTint="33"/>
          </w:tcPr>
          <w:p w14:paraId="4D0297C6" w14:textId="77777777" w:rsidR="000C649E" w:rsidRPr="000F53C8" w:rsidRDefault="000C649E" w:rsidP="006068DD">
            <w:pPr>
              <w:spacing w:before="0" w:after="0"/>
              <w:ind w:left="18"/>
              <w:jc w:val="center"/>
              <w:rPr>
                <w:lang w:val="en-GB"/>
              </w:rPr>
            </w:pPr>
            <w:r w:rsidRPr="000F53C8">
              <w:rPr>
                <w:b/>
                <w:bCs/>
                <w:lang w:val="en-GB"/>
              </w:rPr>
              <w:t>Senegal</w:t>
            </w:r>
          </w:p>
        </w:tc>
      </w:tr>
      <w:tr w:rsidR="000C649E" w:rsidRPr="000F53C8" w14:paraId="7AC57FF2" w14:textId="77777777" w:rsidTr="006B609F">
        <w:tc>
          <w:tcPr>
            <w:tcW w:w="2141" w:type="dxa"/>
            <w:vMerge w:val="restart"/>
            <w:shd w:val="clear" w:color="auto" w:fill="DEEAF6" w:themeFill="accent1" w:themeFillTint="33"/>
          </w:tcPr>
          <w:p w14:paraId="517F8704" w14:textId="77777777" w:rsidR="000C649E" w:rsidRPr="000F53C8" w:rsidRDefault="000C649E" w:rsidP="006068DD">
            <w:pPr>
              <w:spacing w:before="0" w:after="0"/>
              <w:ind w:left="0"/>
              <w:rPr>
                <w:lang w:val="en-GB"/>
              </w:rPr>
            </w:pPr>
            <w:r w:rsidRPr="000F53C8">
              <w:rPr>
                <w:lang w:val="en-GB"/>
              </w:rPr>
              <w:t>Nation-wide monitoring</w:t>
            </w:r>
          </w:p>
        </w:tc>
        <w:tc>
          <w:tcPr>
            <w:tcW w:w="1499" w:type="dxa"/>
            <w:shd w:val="clear" w:color="auto" w:fill="DEEAF6" w:themeFill="accent1" w:themeFillTint="33"/>
          </w:tcPr>
          <w:p w14:paraId="246B81E4" w14:textId="77777777" w:rsidR="000C649E" w:rsidRPr="000F53C8" w:rsidRDefault="000C649E" w:rsidP="006068DD">
            <w:pPr>
              <w:spacing w:before="0" w:after="0"/>
              <w:ind w:left="18"/>
              <w:jc w:val="center"/>
              <w:rPr>
                <w:lang w:val="en-GB"/>
              </w:rPr>
            </w:pPr>
            <w:r w:rsidRPr="000F53C8">
              <w:rPr>
                <w:lang w:val="en-GB"/>
              </w:rPr>
              <w:t>Responsible organisation</w:t>
            </w:r>
          </w:p>
        </w:tc>
        <w:tc>
          <w:tcPr>
            <w:tcW w:w="1560" w:type="dxa"/>
          </w:tcPr>
          <w:p w14:paraId="4B62CEB6" w14:textId="77777777" w:rsidR="000C649E" w:rsidRPr="000F53C8" w:rsidRDefault="000C649E" w:rsidP="006068DD">
            <w:pPr>
              <w:spacing w:before="0" w:after="0"/>
              <w:ind w:left="18"/>
              <w:jc w:val="center"/>
              <w:rPr>
                <w:lang w:val="en-GB"/>
              </w:rPr>
            </w:pPr>
            <w:r w:rsidRPr="000F53C8">
              <w:rPr>
                <w:lang w:val="en-GB"/>
              </w:rPr>
              <w:t>DWR</w:t>
            </w:r>
          </w:p>
        </w:tc>
        <w:tc>
          <w:tcPr>
            <w:tcW w:w="1567" w:type="dxa"/>
          </w:tcPr>
          <w:p w14:paraId="28A0EF84" w14:textId="77777777" w:rsidR="000C649E" w:rsidRPr="000F53C8" w:rsidRDefault="000C649E" w:rsidP="006068DD">
            <w:pPr>
              <w:spacing w:before="0" w:after="0"/>
              <w:ind w:left="18"/>
              <w:jc w:val="center"/>
              <w:rPr>
                <w:lang w:val="en-GB"/>
              </w:rPr>
            </w:pPr>
            <w:r w:rsidRPr="000F53C8">
              <w:rPr>
                <w:lang w:val="en-GB"/>
              </w:rPr>
              <w:t>DGRH</w:t>
            </w:r>
          </w:p>
        </w:tc>
        <w:tc>
          <w:tcPr>
            <w:tcW w:w="1583" w:type="dxa"/>
          </w:tcPr>
          <w:p w14:paraId="411154CC" w14:textId="77777777" w:rsidR="000C649E" w:rsidRPr="000F53C8" w:rsidRDefault="000C649E" w:rsidP="006068DD">
            <w:pPr>
              <w:spacing w:before="0" w:after="0"/>
              <w:ind w:left="18"/>
              <w:jc w:val="center"/>
              <w:rPr>
                <w:lang w:val="en-GB"/>
              </w:rPr>
            </w:pPr>
            <w:r w:rsidRPr="000F53C8">
              <w:rPr>
                <w:lang w:val="en-GB"/>
              </w:rPr>
              <w:t>CNRE</w:t>
            </w:r>
          </w:p>
        </w:tc>
        <w:tc>
          <w:tcPr>
            <w:tcW w:w="1856" w:type="dxa"/>
          </w:tcPr>
          <w:p w14:paraId="50EEF8A4" w14:textId="77777777" w:rsidR="000C649E" w:rsidRPr="000F53C8" w:rsidRDefault="000C649E" w:rsidP="006068DD">
            <w:pPr>
              <w:spacing w:before="0" w:after="0"/>
              <w:ind w:left="18"/>
              <w:jc w:val="center"/>
              <w:rPr>
                <w:lang w:val="en-GB"/>
              </w:rPr>
            </w:pPr>
            <w:r w:rsidRPr="000F53C8">
              <w:rPr>
                <w:lang w:val="en-GB"/>
              </w:rPr>
              <w:t>DGPRE</w:t>
            </w:r>
          </w:p>
        </w:tc>
      </w:tr>
      <w:tr w:rsidR="000C649E" w:rsidRPr="000F53C8" w14:paraId="19BE17B5" w14:textId="77777777" w:rsidTr="006B609F">
        <w:tc>
          <w:tcPr>
            <w:tcW w:w="2141" w:type="dxa"/>
            <w:vMerge/>
            <w:shd w:val="clear" w:color="auto" w:fill="DEEAF6" w:themeFill="accent1" w:themeFillTint="33"/>
          </w:tcPr>
          <w:p w14:paraId="05CA54FD" w14:textId="77777777" w:rsidR="000C649E" w:rsidRPr="000F53C8" w:rsidRDefault="000C649E" w:rsidP="006068DD">
            <w:pPr>
              <w:spacing w:before="0" w:after="0"/>
              <w:ind w:left="0"/>
              <w:rPr>
                <w:lang w:val="en-GB"/>
              </w:rPr>
            </w:pPr>
          </w:p>
        </w:tc>
        <w:tc>
          <w:tcPr>
            <w:tcW w:w="1499" w:type="dxa"/>
            <w:shd w:val="clear" w:color="auto" w:fill="DEEAF6" w:themeFill="accent1" w:themeFillTint="33"/>
          </w:tcPr>
          <w:p w14:paraId="3E2B1AF1" w14:textId="77777777" w:rsidR="000C649E" w:rsidRPr="000F53C8" w:rsidRDefault="000C649E" w:rsidP="006068DD">
            <w:pPr>
              <w:spacing w:before="0" w:after="0"/>
              <w:ind w:left="18"/>
              <w:jc w:val="center"/>
              <w:rPr>
                <w:lang w:val="en-GB"/>
              </w:rPr>
            </w:pPr>
            <w:r w:rsidRPr="000F53C8">
              <w:rPr>
                <w:lang w:val="en-GB"/>
              </w:rPr>
              <w:t>Ongoing?</w:t>
            </w:r>
          </w:p>
        </w:tc>
        <w:tc>
          <w:tcPr>
            <w:tcW w:w="1560" w:type="dxa"/>
          </w:tcPr>
          <w:p w14:paraId="16B56FC3" w14:textId="77777777" w:rsidR="000C649E" w:rsidRPr="000F53C8" w:rsidRDefault="000C649E" w:rsidP="006068DD">
            <w:pPr>
              <w:spacing w:before="0" w:after="0"/>
              <w:ind w:left="18"/>
              <w:jc w:val="center"/>
              <w:rPr>
                <w:lang w:val="en-GB"/>
              </w:rPr>
            </w:pPr>
            <w:r w:rsidRPr="000F53C8">
              <w:rPr>
                <w:lang w:val="en-GB"/>
              </w:rPr>
              <w:t>yes</w:t>
            </w:r>
          </w:p>
        </w:tc>
        <w:tc>
          <w:tcPr>
            <w:tcW w:w="1567" w:type="dxa"/>
          </w:tcPr>
          <w:p w14:paraId="498D4802" w14:textId="77777777" w:rsidR="000C649E" w:rsidRPr="000F53C8" w:rsidRDefault="000C649E" w:rsidP="006068DD">
            <w:pPr>
              <w:spacing w:before="0" w:after="0"/>
              <w:ind w:left="18"/>
              <w:jc w:val="center"/>
              <w:rPr>
                <w:lang w:val="en-GB"/>
              </w:rPr>
            </w:pPr>
            <w:r w:rsidRPr="000F53C8">
              <w:rPr>
                <w:lang w:val="en-GB"/>
              </w:rPr>
              <w:t>no</w:t>
            </w:r>
          </w:p>
        </w:tc>
        <w:tc>
          <w:tcPr>
            <w:tcW w:w="1583" w:type="dxa"/>
          </w:tcPr>
          <w:p w14:paraId="4C104918" w14:textId="77777777" w:rsidR="000C649E" w:rsidRPr="000F53C8" w:rsidRDefault="000C649E" w:rsidP="006068DD">
            <w:pPr>
              <w:spacing w:before="0" w:after="0"/>
              <w:ind w:left="18"/>
              <w:jc w:val="center"/>
              <w:rPr>
                <w:lang w:val="en-GB"/>
              </w:rPr>
            </w:pPr>
            <w:r w:rsidRPr="000F53C8">
              <w:rPr>
                <w:lang w:val="en-GB"/>
              </w:rPr>
              <w:t>no</w:t>
            </w:r>
          </w:p>
        </w:tc>
        <w:tc>
          <w:tcPr>
            <w:tcW w:w="1856" w:type="dxa"/>
          </w:tcPr>
          <w:p w14:paraId="27D10BCA" w14:textId="77777777" w:rsidR="000C649E" w:rsidRPr="000F53C8" w:rsidRDefault="000C649E" w:rsidP="006068DD">
            <w:pPr>
              <w:spacing w:before="0" w:after="0"/>
              <w:ind w:left="18"/>
              <w:jc w:val="center"/>
              <w:rPr>
                <w:lang w:val="en-GB"/>
              </w:rPr>
            </w:pPr>
            <w:r w:rsidRPr="000F53C8">
              <w:rPr>
                <w:lang w:val="en-GB"/>
              </w:rPr>
              <w:t>yes</w:t>
            </w:r>
          </w:p>
        </w:tc>
      </w:tr>
      <w:tr w:rsidR="000C649E" w:rsidRPr="000F53C8" w14:paraId="295AC5F0" w14:textId="77777777" w:rsidTr="006B609F">
        <w:tc>
          <w:tcPr>
            <w:tcW w:w="2141" w:type="dxa"/>
            <w:vMerge w:val="restart"/>
            <w:shd w:val="clear" w:color="auto" w:fill="DEEAF6" w:themeFill="accent1" w:themeFillTint="33"/>
          </w:tcPr>
          <w:p w14:paraId="2CA02DA2" w14:textId="77777777" w:rsidR="000C649E" w:rsidRPr="000F53C8" w:rsidRDefault="000C649E" w:rsidP="006068DD">
            <w:pPr>
              <w:spacing w:before="0" w:after="0"/>
              <w:ind w:left="0"/>
              <w:rPr>
                <w:lang w:val="en-GB"/>
              </w:rPr>
            </w:pPr>
            <w:r w:rsidRPr="000F53C8">
              <w:rPr>
                <w:lang w:val="en-GB"/>
              </w:rPr>
              <w:t>Wellfield monitoring</w:t>
            </w:r>
          </w:p>
        </w:tc>
        <w:tc>
          <w:tcPr>
            <w:tcW w:w="1499" w:type="dxa"/>
            <w:shd w:val="clear" w:color="auto" w:fill="DEEAF6" w:themeFill="accent1" w:themeFillTint="33"/>
          </w:tcPr>
          <w:p w14:paraId="18036025" w14:textId="77777777" w:rsidR="000C649E" w:rsidRPr="000F53C8" w:rsidRDefault="000C649E" w:rsidP="006068DD">
            <w:pPr>
              <w:spacing w:before="0" w:after="0"/>
              <w:ind w:left="18"/>
              <w:jc w:val="center"/>
              <w:rPr>
                <w:lang w:val="en-GB"/>
              </w:rPr>
            </w:pPr>
            <w:r w:rsidRPr="000F53C8">
              <w:rPr>
                <w:lang w:val="en-GB"/>
              </w:rPr>
              <w:t>Responsible organisation</w:t>
            </w:r>
          </w:p>
        </w:tc>
        <w:tc>
          <w:tcPr>
            <w:tcW w:w="1560" w:type="dxa"/>
          </w:tcPr>
          <w:p w14:paraId="548C1912" w14:textId="77777777" w:rsidR="000C649E" w:rsidRPr="000F53C8" w:rsidRDefault="000C649E" w:rsidP="006068DD">
            <w:pPr>
              <w:spacing w:before="0" w:after="0"/>
              <w:ind w:left="18"/>
              <w:jc w:val="center"/>
              <w:rPr>
                <w:lang w:val="en-GB"/>
              </w:rPr>
            </w:pPr>
            <w:r w:rsidRPr="000F53C8">
              <w:rPr>
                <w:lang w:val="en-GB"/>
              </w:rPr>
              <w:t>NAWEC</w:t>
            </w:r>
          </w:p>
          <w:p w14:paraId="1DAAB922" w14:textId="77777777" w:rsidR="000C649E" w:rsidRPr="000F53C8" w:rsidRDefault="000C649E" w:rsidP="006068DD">
            <w:pPr>
              <w:spacing w:before="0" w:after="0"/>
              <w:ind w:left="18"/>
              <w:jc w:val="center"/>
              <w:rPr>
                <w:lang w:val="en-GB"/>
              </w:rPr>
            </w:pPr>
          </w:p>
        </w:tc>
        <w:tc>
          <w:tcPr>
            <w:tcW w:w="1567" w:type="dxa"/>
          </w:tcPr>
          <w:p w14:paraId="398D0EEA" w14:textId="77777777" w:rsidR="000C649E" w:rsidRPr="000F53C8" w:rsidRDefault="000C649E" w:rsidP="006068DD">
            <w:pPr>
              <w:spacing w:before="0" w:after="0"/>
              <w:ind w:left="18"/>
              <w:jc w:val="center"/>
              <w:rPr>
                <w:lang w:val="en-GB"/>
              </w:rPr>
            </w:pPr>
            <w:r w:rsidRPr="000F53C8">
              <w:rPr>
                <w:lang w:val="en-GB"/>
              </w:rPr>
              <w:t>various city-based public water suppliers</w:t>
            </w:r>
          </w:p>
        </w:tc>
        <w:tc>
          <w:tcPr>
            <w:tcW w:w="1583" w:type="dxa"/>
          </w:tcPr>
          <w:p w14:paraId="7381FE5F" w14:textId="77777777" w:rsidR="000C649E" w:rsidRPr="000F53C8" w:rsidRDefault="000C649E" w:rsidP="006068DD">
            <w:pPr>
              <w:spacing w:before="0" w:after="0"/>
              <w:ind w:left="18"/>
              <w:jc w:val="center"/>
              <w:rPr>
                <w:lang w:val="en-GB"/>
              </w:rPr>
            </w:pPr>
            <w:r w:rsidRPr="000F53C8">
              <w:rPr>
                <w:lang w:val="en-GB"/>
              </w:rPr>
              <w:t>SNDE</w:t>
            </w:r>
          </w:p>
        </w:tc>
        <w:tc>
          <w:tcPr>
            <w:tcW w:w="1856" w:type="dxa"/>
          </w:tcPr>
          <w:p w14:paraId="5D087AC5" w14:textId="77777777" w:rsidR="000C649E" w:rsidRPr="000F53C8" w:rsidRDefault="000C649E" w:rsidP="006068DD">
            <w:pPr>
              <w:spacing w:before="0" w:after="0"/>
              <w:ind w:left="18"/>
              <w:jc w:val="center"/>
              <w:rPr>
                <w:lang w:val="en-GB"/>
              </w:rPr>
            </w:pPr>
            <w:r w:rsidRPr="000F53C8">
              <w:rPr>
                <w:lang w:val="en-GB"/>
              </w:rPr>
              <w:t>SONES</w:t>
            </w:r>
          </w:p>
        </w:tc>
      </w:tr>
      <w:tr w:rsidR="000C649E" w:rsidRPr="000F53C8" w14:paraId="6DE6E7DD" w14:textId="77777777" w:rsidTr="006B609F">
        <w:tc>
          <w:tcPr>
            <w:tcW w:w="2141" w:type="dxa"/>
            <w:vMerge/>
            <w:shd w:val="clear" w:color="auto" w:fill="DEEAF6" w:themeFill="accent1" w:themeFillTint="33"/>
          </w:tcPr>
          <w:p w14:paraId="1A685105" w14:textId="77777777" w:rsidR="000C649E" w:rsidRPr="000F53C8" w:rsidRDefault="000C649E" w:rsidP="006068DD">
            <w:pPr>
              <w:spacing w:before="0" w:after="0"/>
              <w:rPr>
                <w:lang w:val="en-GB"/>
              </w:rPr>
            </w:pPr>
          </w:p>
        </w:tc>
        <w:tc>
          <w:tcPr>
            <w:tcW w:w="1499" w:type="dxa"/>
            <w:shd w:val="clear" w:color="auto" w:fill="DEEAF6" w:themeFill="accent1" w:themeFillTint="33"/>
          </w:tcPr>
          <w:p w14:paraId="2EF8F593" w14:textId="77777777" w:rsidR="000C649E" w:rsidRPr="000F53C8" w:rsidRDefault="000C649E" w:rsidP="006068DD">
            <w:pPr>
              <w:spacing w:before="0" w:after="0"/>
              <w:ind w:left="18"/>
              <w:jc w:val="center"/>
              <w:rPr>
                <w:lang w:val="en-GB"/>
              </w:rPr>
            </w:pPr>
            <w:r w:rsidRPr="000F53C8">
              <w:rPr>
                <w:lang w:val="en-GB"/>
              </w:rPr>
              <w:t>Ongoing?</w:t>
            </w:r>
          </w:p>
        </w:tc>
        <w:tc>
          <w:tcPr>
            <w:tcW w:w="1560" w:type="dxa"/>
          </w:tcPr>
          <w:p w14:paraId="1FF1CA31" w14:textId="77777777" w:rsidR="000C649E" w:rsidRPr="000F53C8" w:rsidRDefault="000C649E" w:rsidP="006068DD">
            <w:pPr>
              <w:spacing w:before="0" w:after="0"/>
              <w:ind w:left="18"/>
              <w:jc w:val="center"/>
              <w:rPr>
                <w:lang w:val="en-GB"/>
              </w:rPr>
            </w:pPr>
            <w:r w:rsidRPr="000F53C8">
              <w:rPr>
                <w:lang w:val="en-GB"/>
              </w:rPr>
              <w:t>no</w:t>
            </w:r>
          </w:p>
        </w:tc>
        <w:tc>
          <w:tcPr>
            <w:tcW w:w="1567" w:type="dxa"/>
          </w:tcPr>
          <w:p w14:paraId="19E67FB6" w14:textId="77777777" w:rsidR="000C649E" w:rsidRPr="000F53C8" w:rsidRDefault="000C649E" w:rsidP="006068DD">
            <w:pPr>
              <w:spacing w:before="0" w:after="0"/>
              <w:ind w:left="18"/>
              <w:jc w:val="center"/>
              <w:rPr>
                <w:lang w:val="en-GB"/>
              </w:rPr>
            </w:pPr>
            <w:r w:rsidRPr="000F53C8">
              <w:rPr>
                <w:lang w:val="en-GB"/>
              </w:rPr>
              <w:t>not in Bissau, maybe in other cities</w:t>
            </w:r>
          </w:p>
        </w:tc>
        <w:tc>
          <w:tcPr>
            <w:tcW w:w="1583" w:type="dxa"/>
          </w:tcPr>
          <w:p w14:paraId="3ABE2EA7" w14:textId="77777777" w:rsidR="000C649E" w:rsidRPr="000F53C8" w:rsidRDefault="000C649E" w:rsidP="006068DD">
            <w:pPr>
              <w:spacing w:before="0" w:after="0"/>
              <w:ind w:left="18"/>
              <w:jc w:val="center"/>
              <w:rPr>
                <w:lang w:val="en-GB"/>
              </w:rPr>
            </w:pPr>
            <w:r w:rsidRPr="000F53C8">
              <w:rPr>
                <w:lang w:val="en-GB"/>
              </w:rPr>
              <w:t>yes</w:t>
            </w:r>
          </w:p>
        </w:tc>
        <w:tc>
          <w:tcPr>
            <w:tcW w:w="1856" w:type="dxa"/>
          </w:tcPr>
          <w:p w14:paraId="2D1085B9" w14:textId="77777777" w:rsidR="000C649E" w:rsidRPr="000F53C8" w:rsidRDefault="000C649E" w:rsidP="006068DD">
            <w:pPr>
              <w:spacing w:before="0" w:after="0"/>
              <w:ind w:left="18"/>
              <w:jc w:val="center"/>
              <w:rPr>
                <w:lang w:val="en-GB"/>
              </w:rPr>
            </w:pPr>
            <w:r w:rsidRPr="000F53C8">
              <w:rPr>
                <w:lang w:val="en-GB"/>
              </w:rPr>
              <w:t>yes</w:t>
            </w:r>
          </w:p>
        </w:tc>
      </w:tr>
    </w:tbl>
    <w:p w14:paraId="4E5A0B6F" w14:textId="77777777" w:rsidR="000C649E" w:rsidRPr="000F53C8" w:rsidRDefault="000C649E" w:rsidP="000C649E">
      <w:pPr>
        <w:rPr>
          <w:lang w:val="en-GB"/>
        </w:rPr>
      </w:pPr>
    </w:p>
    <w:p w14:paraId="0F504A5F" w14:textId="77777777" w:rsidR="000C649E" w:rsidRPr="000F53C8" w:rsidRDefault="000C649E" w:rsidP="000C649E">
      <w:pPr>
        <w:rPr>
          <w:lang w:val="en-GB" w:eastAsia="en-US"/>
        </w:rPr>
      </w:pPr>
    </w:p>
    <w:p w14:paraId="10425AD5" w14:textId="03D14BA9" w:rsidR="000C649E" w:rsidRPr="000F53C8" w:rsidRDefault="000C649E" w:rsidP="000C649E">
      <w:pPr>
        <w:rPr>
          <w:lang w:val="en-GB" w:eastAsia="en-US"/>
        </w:rPr>
        <w:sectPr w:rsidR="000C649E" w:rsidRPr="000F53C8" w:rsidSect="001C1DB5">
          <w:headerReference w:type="default" r:id="rId27"/>
          <w:footerReference w:type="default" r:id="rId28"/>
          <w:pgSz w:w="11900" w:h="16840"/>
          <w:pgMar w:top="1417" w:right="843" w:bottom="1417" w:left="1417" w:header="708" w:footer="165" w:gutter="0"/>
          <w:cols w:space="708"/>
          <w:docGrid w:linePitch="299"/>
        </w:sectPr>
      </w:pPr>
    </w:p>
    <w:p w14:paraId="008781AC" w14:textId="77777777" w:rsidR="001C1DB5" w:rsidRPr="000F53C8" w:rsidRDefault="001C1DB5" w:rsidP="001C1DB5">
      <w:pPr>
        <w:pStyle w:val="Heading2"/>
        <w:rPr>
          <w:rStyle w:val="normaltextrun"/>
          <w:lang w:val="en-GB"/>
        </w:rPr>
      </w:pPr>
      <w:bookmarkStart w:id="40" w:name="_Toc54022768"/>
      <w:r w:rsidRPr="000F53C8">
        <w:rPr>
          <w:rStyle w:val="normaltextrun"/>
          <w:lang w:val="en-GB"/>
        </w:rPr>
        <w:t>Conclusion</w:t>
      </w:r>
      <w:bookmarkEnd w:id="40"/>
    </w:p>
    <w:p w14:paraId="698663C5" w14:textId="195427B1" w:rsidR="001C1DB5" w:rsidRPr="000F53C8" w:rsidRDefault="00A65717" w:rsidP="00033040">
      <w:pPr>
        <w:rPr>
          <w:lang w:val="en-GB"/>
        </w:rPr>
      </w:pPr>
      <w:r w:rsidRPr="00A65717">
        <w:rPr>
          <w:lang w:val="en-GB"/>
        </w:rPr>
        <w:t>The consultations were helpful because the information provided by the interviewees was often not available in the documents collected by the project team, or was in contrast with the content of these documents. The consultations allowed a detailed description of the state of groundwater management in the four countries, with particular emphasis on the collection and the management of groundwater data by the national departments or authorities in charge. On that basis, management issues could be identified. Most of these issues are shared by several countries, which offers opportunities for transboundary cooperation. A couple of recommendations were made to address these issues, which could help the Regional Working Group to define an action plan for the next years and identify priorities.</w:t>
      </w:r>
    </w:p>
    <w:sectPr w:rsidR="001C1DB5" w:rsidRPr="000F53C8" w:rsidSect="001C1DB5">
      <w:pgSz w:w="11900" w:h="16840"/>
      <w:pgMar w:top="1417" w:right="843" w:bottom="1417" w:left="1417" w:header="708" w:footer="16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3430" w14:textId="77777777" w:rsidR="003857D9" w:rsidRDefault="003857D9" w:rsidP="00DC5A9D">
      <w:r>
        <w:separator/>
      </w:r>
    </w:p>
  </w:endnote>
  <w:endnote w:type="continuationSeparator" w:id="0">
    <w:p w14:paraId="4FB22C79" w14:textId="77777777" w:rsidR="003857D9" w:rsidRDefault="003857D9" w:rsidP="00DC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ucida Grande">
    <w:altName w:val="Segoe UI"/>
    <w:charset w:val="00"/>
    <w:family w:val="auto"/>
    <w:pitch w:val="variable"/>
  </w:font>
  <w:font w:name="National Regular">
    <w:panose1 w:val="02000503000000020004"/>
    <w:charset w:val="00"/>
    <w:family w:val="modern"/>
    <w:notTrueType/>
    <w:pitch w:val="variable"/>
    <w:sig w:usb0="A00000FF" w:usb1="5000207B" w:usb2="0000001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default"/>
    <w:sig w:usb0="00000003" w:usb1="00000000" w:usb2="00000000" w:usb3="00000000" w:csb0="00000001" w:csb1="00000000"/>
  </w:font>
  <w:font w:name="TheSans-Caps">
    <w:altName w:val="Times New Roman"/>
    <w:panose1 w:val="00000000000000000000"/>
    <w:charset w:val="00"/>
    <w:family w:val="swiss"/>
    <w:notTrueType/>
    <w:pitch w:val="variable"/>
    <w:sig w:usb0="00000003" w:usb1="00000000" w:usb2="00000000" w:usb3="00000000" w:csb0="00000001" w:csb1="00000000"/>
  </w:font>
  <w:font w:name="National Light">
    <w:panose1 w:val="00000000000000000000"/>
    <w:charset w:val="00"/>
    <w:family w:val="modern"/>
    <w:notTrueType/>
    <w:pitch w:val="variable"/>
    <w:sig w:usb0="A10000FF" w:usb1="5001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F6AD" w14:textId="77777777" w:rsidR="002F6D03" w:rsidRDefault="002F6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2378" w14:textId="6E98856D" w:rsidR="005D5630" w:rsidRPr="00627320" w:rsidRDefault="005D5630" w:rsidP="00627320">
    <w:pPr>
      <w:pStyle w:val="Footer"/>
      <w:ind w:left="0"/>
      <w:jc w:val="left"/>
      <w:rPr>
        <w:rFonts w:asciiTheme="majorHAnsi" w:hAnsiTheme="majorHAnsi" w:cs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4735" w14:textId="77777777" w:rsidR="002F6D03" w:rsidRDefault="002F6D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82" w:type="dxa"/>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5386"/>
      <w:gridCol w:w="2253"/>
    </w:tblGrid>
    <w:tr w:rsidR="005D5630" w:rsidRPr="002B4DDF" w14:paraId="63D9D784" w14:textId="77777777" w:rsidTr="001E364E">
      <w:tc>
        <w:tcPr>
          <w:tcW w:w="2567" w:type="dxa"/>
          <w:vAlign w:val="center"/>
        </w:tcPr>
        <w:p w14:paraId="55CFE5FD" w14:textId="77777777" w:rsidR="005D5630" w:rsidRPr="00B54238" w:rsidRDefault="005D5630" w:rsidP="001E364E">
          <w:pPr>
            <w:pStyle w:val="PiedPage"/>
            <w:spacing w:before="0" w:after="0"/>
            <w:rPr>
              <w:sz w:val="24"/>
              <w:szCs w:val="24"/>
            </w:rPr>
          </w:pPr>
          <w:r>
            <w:rPr>
              <w:noProof/>
              <w:lang w:eastAsia="fr-CH"/>
            </w:rPr>
            <w:drawing>
              <wp:inline distT="0" distB="0" distL="0" distR="0" wp14:anchorId="54EB0D96" wp14:editId="23E826E0">
                <wp:extent cx="653143" cy="67273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1">
                          <a:extLst>
                            <a:ext uri="{28A0092B-C50C-407E-A947-70E740481C1C}">
                              <a14:useLocalDpi xmlns:a14="http://schemas.microsoft.com/office/drawing/2010/main" val="0"/>
                            </a:ext>
                          </a:extLst>
                        </a:blip>
                        <a:stretch>
                          <a:fillRect/>
                        </a:stretch>
                      </pic:blipFill>
                      <pic:spPr>
                        <a:xfrm>
                          <a:off x="0" y="0"/>
                          <a:ext cx="655848" cy="675524"/>
                        </a:xfrm>
                        <a:prstGeom prst="rect">
                          <a:avLst/>
                        </a:prstGeom>
                      </pic:spPr>
                    </pic:pic>
                  </a:graphicData>
                </a:graphic>
              </wp:inline>
            </w:drawing>
          </w:r>
        </w:p>
      </w:tc>
      <w:tc>
        <w:tcPr>
          <w:tcW w:w="5386" w:type="dxa"/>
        </w:tcPr>
        <w:p w14:paraId="23B6F8F2" w14:textId="77777777" w:rsidR="005D5630" w:rsidRDefault="005D5630" w:rsidP="00382983">
          <w:pPr>
            <w:pStyle w:val="Footer"/>
            <w:jc w:val="center"/>
          </w:pPr>
        </w:p>
        <w:sdt>
          <w:sdtPr>
            <w:id w:val="2102053810"/>
            <w:docPartObj>
              <w:docPartGallery w:val="Page Numbers (Bottom of Page)"/>
              <w:docPartUnique/>
            </w:docPartObj>
          </w:sdtPr>
          <w:sdtEndPr>
            <w:rPr>
              <w:noProof/>
              <w:sz w:val="20"/>
              <w:szCs w:val="20"/>
            </w:rPr>
          </w:sdtEndPr>
          <w:sdtContent>
            <w:p w14:paraId="3D79342E" w14:textId="54ABD202" w:rsidR="005D5630" w:rsidRDefault="005D5630" w:rsidP="00382983">
              <w:pPr>
                <w:pStyle w:val="Footer"/>
                <w:jc w:val="center"/>
                <w:rPr>
                  <w:noProof/>
                </w:rPr>
              </w:pPr>
              <w:r>
                <w:fldChar w:fldCharType="begin"/>
              </w:r>
              <w:r>
                <w:instrText xml:space="preserve"> PAGE   \* MERGEFORMAT </w:instrText>
              </w:r>
              <w:r>
                <w:fldChar w:fldCharType="separate"/>
              </w:r>
              <w:r w:rsidR="002F6D03">
                <w:rPr>
                  <w:noProof/>
                </w:rPr>
                <w:t>2</w:t>
              </w:r>
              <w:r>
                <w:rPr>
                  <w:noProof/>
                </w:rPr>
                <w:fldChar w:fldCharType="end"/>
              </w:r>
            </w:p>
            <w:p w14:paraId="6DD3A180" w14:textId="1DD282BA" w:rsidR="005D5630" w:rsidRDefault="005D5630" w:rsidP="00DE57B3">
              <w:pPr>
                <w:pStyle w:val="Footer"/>
                <w:tabs>
                  <w:tab w:val="left" w:pos="692"/>
                </w:tabs>
                <w:jc w:val="center"/>
                <w:rPr>
                  <w:noProof/>
                </w:rPr>
              </w:pPr>
            </w:p>
            <w:p w14:paraId="6AE78EB4" w14:textId="45D05A03" w:rsidR="005D5630" w:rsidRPr="000F3F48" w:rsidRDefault="005D5630" w:rsidP="00DE57B3">
              <w:pPr>
                <w:pStyle w:val="Footer"/>
                <w:ind w:left="0"/>
                <w:jc w:val="center"/>
                <w:rPr>
                  <w:sz w:val="20"/>
                  <w:szCs w:val="20"/>
                </w:rPr>
              </w:pPr>
              <w:r>
                <w:rPr>
                  <w:noProof/>
                  <w:sz w:val="20"/>
                  <w:szCs w:val="20"/>
                </w:rPr>
                <w:t>Version of</w:t>
              </w:r>
              <w:r w:rsidRPr="000F3F48">
                <w:rPr>
                  <w:noProof/>
                  <w:sz w:val="20"/>
                  <w:szCs w:val="20"/>
                </w:rPr>
                <w:t xml:space="preserve"> </w:t>
              </w:r>
              <w:r w:rsidR="002F6D03">
                <w:rPr>
                  <w:noProof/>
                  <w:sz w:val="20"/>
                  <w:szCs w:val="20"/>
                </w:rPr>
                <w:t>11 November</w:t>
              </w:r>
              <w:r w:rsidRPr="000F3F48">
                <w:rPr>
                  <w:noProof/>
                  <w:sz w:val="20"/>
                  <w:szCs w:val="20"/>
                </w:rPr>
                <w:t xml:space="preserve"> 2020</w:t>
              </w:r>
            </w:p>
          </w:sdtContent>
        </w:sdt>
        <w:p w14:paraId="505A7C1C" w14:textId="77777777" w:rsidR="005D5630" w:rsidRPr="00B54238" w:rsidRDefault="005D5630" w:rsidP="00382983">
          <w:pPr>
            <w:pStyle w:val="PiedPage"/>
            <w:spacing w:before="0" w:after="0"/>
            <w:jc w:val="both"/>
            <w:rPr>
              <w:sz w:val="24"/>
              <w:szCs w:val="24"/>
            </w:rPr>
          </w:pPr>
        </w:p>
      </w:tc>
      <w:tc>
        <w:tcPr>
          <w:tcW w:w="2253" w:type="dxa"/>
          <w:vAlign w:val="center"/>
        </w:tcPr>
        <w:p w14:paraId="09245EE6" w14:textId="3EA615BC" w:rsidR="005D5630" w:rsidRPr="00DE57B3" w:rsidRDefault="005D5630" w:rsidP="00DE57B3">
          <w:pPr>
            <w:pStyle w:val="PiedPage"/>
            <w:spacing w:before="0" w:after="0"/>
          </w:pPr>
          <w:r>
            <w:rPr>
              <w:noProof/>
              <w:lang w:eastAsia="fr-CH"/>
            </w:rPr>
            <w:drawing>
              <wp:inline distT="0" distB="0" distL="0" distR="0" wp14:anchorId="049C9442" wp14:editId="05F05BFB">
                <wp:extent cx="468000" cy="745200"/>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2">
                          <a:extLst>
                            <a:ext uri="{28A0092B-C50C-407E-A947-70E740481C1C}">
                              <a14:useLocalDpi xmlns:a14="http://schemas.microsoft.com/office/drawing/2010/main" val="0"/>
                            </a:ext>
                          </a:extLst>
                        </a:blip>
                        <a:stretch>
                          <a:fillRect/>
                        </a:stretch>
                      </pic:blipFill>
                      <pic:spPr>
                        <a:xfrm>
                          <a:off x="0" y="0"/>
                          <a:ext cx="468000" cy="745200"/>
                        </a:xfrm>
                        <a:prstGeom prst="rect">
                          <a:avLst/>
                        </a:prstGeom>
                      </pic:spPr>
                    </pic:pic>
                  </a:graphicData>
                </a:graphic>
              </wp:inline>
            </w:drawing>
          </w:r>
        </w:p>
      </w:tc>
    </w:tr>
  </w:tbl>
  <w:p w14:paraId="5CF27710" w14:textId="4795B865" w:rsidR="005D5630" w:rsidRPr="00627320" w:rsidRDefault="005D5630" w:rsidP="00627320">
    <w:pPr>
      <w:pStyle w:val="Footer"/>
      <w:ind w:left="0"/>
      <w:jc w:val="left"/>
      <w:rPr>
        <w:rFonts w:asciiTheme="majorHAnsi" w:hAnsiTheme="majorHAnsi" w:cstheme="majorHAns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82" w:type="dxa"/>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5386"/>
      <w:gridCol w:w="2253"/>
    </w:tblGrid>
    <w:tr w:rsidR="005D5630" w:rsidRPr="002B4DDF" w14:paraId="4CED9DA6" w14:textId="77777777" w:rsidTr="001E364E">
      <w:tc>
        <w:tcPr>
          <w:tcW w:w="2567" w:type="dxa"/>
          <w:vAlign w:val="center"/>
        </w:tcPr>
        <w:p w14:paraId="339115A6" w14:textId="77777777" w:rsidR="005D5630" w:rsidRPr="00B54238" w:rsidRDefault="005D5630" w:rsidP="001E364E">
          <w:pPr>
            <w:pStyle w:val="PiedPage"/>
            <w:spacing w:before="0" w:after="0"/>
            <w:rPr>
              <w:sz w:val="24"/>
              <w:szCs w:val="24"/>
            </w:rPr>
          </w:pPr>
          <w:r>
            <w:rPr>
              <w:noProof/>
              <w:lang w:eastAsia="fr-CH"/>
            </w:rPr>
            <w:drawing>
              <wp:inline distT="0" distB="0" distL="0" distR="0" wp14:anchorId="0AFB502A" wp14:editId="663F1387">
                <wp:extent cx="653143" cy="67273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1">
                          <a:extLst>
                            <a:ext uri="{28A0092B-C50C-407E-A947-70E740481C1C}">
                              <a14:useLocalDpi xmlns:a14="http://schemas.microsoft.com/office/drawing/2010/main" val="0"/>
                            </a:ext>
                          </a:extLst>
                        </a:blip>
                        <a:stretch>
                          <a:fillRect/>
                        </a:stretch>
                      </pic:blipFill>
                      <pic:spPr>
                        <a:xfrm>
                          <a:off x="0" y="0"/>
                          <a:ext cx="655848" cy="675524"/>
                        </a:xfrm>
                        <a:prstGeom prst="rect">
                          <a:avLst/>
                        </a:prstGeom>
                      </pic:spPr>
                    </pic:pic>
                  </a:graphicData>
                </a:graphic>
              </wp:inline>
            </w:drawing>
          </w:r>
        </w:p>
      </w:tc>
      <w:tc>
        <w:tcPr>
          <w:tcW w:w="5386" w:type="dxa"/>
        </w:tcPr>
        <w:p w14:paraId="5FF84B08" w14:textId="77777777" w:rsidR="005D5630" w:rsidRDefault="005D5630" w:rsidP="00382983">
          <w:pPr>
            <w:pStyle w:val="Footer"/>
            <w:jc w:val="center"/>
          </w:pPr>
        </w:p>
        <w:sdt>
          <w:sdtPr>
            <w:id w:val="1710455167"/>
            <w:docPartObj>
              <w:docPartGallery w:val="Page Numbers (Bottom of Page)"/>
              <w:docPartUnique/>
            </w:docPartObj>
          </w:sdtPr>
          <w:sdtEndPr>
            <w:rPr>
              <w:noProof/>
              <w:sz w:val="20"/>
              <w:szCs w:val="20"/>
            </w:rPr>
          </w:sdtEndPr>
          <w:sdtContent>
            <w:p w14:paraId="536367EB" w14:textId="64800952" w:rsidR="005D5630" w:rsidRDefault="005D5630" w:rsidP="00382983">
              <w:pPr>
                <w:pStyle w:val="Footer"/>
                <w:jc w:val="center"/>
                <w:rPr>
                  <w:noProof/>
                </w:rPr>
              </w:pPr>
              <w:r>
                <w:fldChar w:fldCharType="begin"/>
              </w:r>
              <w:r>
                <w:instrText xml:space="preserve"> PAGE   \* MERGEFORMAT </w:instrText>
              </w:r>
              <w:r>
                <w:fldChar w:fldCharType="separate"/>
              </w:r>
              <w:r w:rsidR="002F6D03">
                <w:rPr>
                  <w:noProof/>
                </w:rPr>
                <w:t>15</w:t>
              </w:r>
              <w:r>
                <w:rPr>
                  <w:noProof/>
                </w:rPr>
                <w:fldChar w:fldCharType="end"/>
              </w:r>
            </w:p>
            <w:p w14:paraId="27967F6F" w14:textId="77777777" w:rsidR="005D5630" w:rsidRDefault="005D5630" w:rsidP="00DE57B3">
              <w:pPr>
                <w:pStyle w:val="Footer"/>
                <w:tabs>
                  <w:tab w:val="left" w:pos="692"/>
                </w:tabs>
                <w:jc w:val="center"/>
                <w:rPr>
                  <w:noProof/>
                </w:rPr>
              </w:pPr>
            </w:p>
            <w:p w14:paraId="53A38FBA" w14:textId="77777777" w:rsidR="005D5630" w:rsidRPr="000F3F48" w:rsidRDefault="005D5630" w:rsidP="00DE57B3">
              <w:pPr>
                <w:pStyle w:val="Footer"/>
                <w:ind w:left="0"/>
                <w:jc w:val="center"/>
                <w:rPr>
                  <w:sz w:val="20"/>
                  <w:szCs w:val="20"/>
                </w:rPr>
              </w:pPr>
              <w:r>
                <w:rPr>
                  <w:noProof/>
                  <w:sz w:val="20"/>
                  <w:szCs w:val="20"/>
                </w:rPr>
                <w:t>Version du</w:t>
              </w:r>
              <w:r w:rsidRPr="000F3F48">
                <w:rPr>
                  <w:noProof/>
                  <w:sz w:val="20"/>
                  <w:szCs w:val="20"/>
                </w:rPr>
                <w:t xml:space="preserve"> </w:t>
              </w:r>
              <w:r>
                <w:rPr>
                  <w:noProof/>
                  <w:sz w:val="20"/>
                  <w:szCs w:val="20"/>
                </w:rPr>
                <w:t>14 Octobre</w:t>
              </w:r>
              <w:r w:rsidRPr="000F3F48">
                <w:rPr>
                  <w:noProof/>
                  <w:sz w:val="20"/>
                  <w:szCs w:val="20"/>
                </w:rPr>
                <w:t xml:space="preserve"> 2020</w:t>
              </w:r>
            </w:p>
          </w:sdtContent>
        </w:sdt>
        <w:p w14:paraId="44CDBA92" w14:textId="77777777" w:rsidR="005D5630" w:rsidRPr="00B54238" w:rsidRDefault="005D5630" w:rsidP="00382983">
          <w:pPr>
            <w:pStyle w:val="PiedPage"/>
            <w:spacing w:before="0" w:after="0"/>
            <w:jc w:val="both"/>
            <w:rPr>
              <w:sz w:val="24"/>
              <w:szCs w:val="24"/>
            </w:rPr>
          </w:pPr>
        </w:p>
      </w:tc>
      <w:tc>
        <w:tcPr>
          <w:tcW w:w="2253" w:type="dxa"/>
          <w:vAlign w:val="center"/>
        </w:tcPr>
        <w:p w14:paraId="237B5160" w14:textId="77777777" w:rsidR="005D5630" w:rsidRPr="00DE57B3" w:rsidRDefault="005D5630" w:rsidP="00DE57B3">
          <w:pPr>
            <w:pStyle w:val="PiedPage"/>
            <w:spacing w:before="0" w:after="0"/>
          </w:pPr>
          <w:r>
            <w:rPr>
              <w:noProof/>
              <w:lang w:eastAsia="fr-CH"/>
            </w:rPr>
            <w:drawing>
              <wp:inline distT="0" distB="0" distL="0" distR="0" wp14:anchorId="1CDD0BB2" wp14:editId="6716637C">
                <wp:extent cx="468000" cy="745200"/>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2">
                          <a:extLst>
                            <a:ext uri="{28A0092B-C50C-407E-A947-70E740481C1C}">
                              <a14:useLocalDpi xmlns:a14="http://schemas.microsoft.com/office/drawing/2010/main" val="0"/>
                            </a:ext>
                          </a:extLst>
                        </a:blip>
                        <a:stretch>
                          <a:fillRect/>
                        </a:stretch>
                      </pic:blipFill>
                      <pic:spPr>
                        <a:xfrm>
                          <a:off x="0" y="0"/>
                          <a:ext cx="468000" cy="745200"/>
                        </a:xfrm>
                        <a:prstGeom prst="rect">
                          <a:avLst/>
                        </a:prstGeom>
                      </pic:spPr>
                    </pic:pic>
                  </a:graphicData>
                </a:graphic>
              </wp:inline>
            </w:drawing>
          </w:r>
        </w:p>
      </w:tc>
    </w:tr>
  </w:tbl>
  <w:p w14:paraId="52C5D7F9" w14:textId="77777777" w:rsidR="005D5630" w:rsidRPr="00627320" w:rsidRDefault="005D5630" w:rsidP="00627320">
    <w:pPr>
      <w:pStyle w:val="Footer"/>
      <w:ind w:left="0"/>
      <w:jc w:val="left"/>
      <w:rPr>
        <w:rFonts w:asciiTheme="majorHAnsi" w:hAnsiTheme="majorHAnsi" w:cs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7958" w14:textId="77777777" w:rsidR="003857D9" w:rsidRDefault="003857D9" w:rsidP="00DC5A9D">
      <w:r>
        <w:separator/>
      </w:r>
    </w:p>
  </w:footnote>
  <w:footnote w:type="continuationSeparator" w:id="0">
    <w:p w14:paraId="22255A16" w14:textId="77777777" w:rsidR="003857D9" w:rsidRDefault="003857D9" w:rsidP="00DC5A9D">
      <w:r>
        <w:continuationSeparator/>
      </w:r>
    </w:p>
  </w:footnote>
  <w:footnote w:id="1">
    <w:p w14:paraId="48DFB606" w14:textId="77777777" w:rsidR="005D5630" w:rsidRPr="00A525C5" w:rsidRDefault="005D5630" w:rsidP="000C649E">
      <w:pPr>
        <w:pStyle w:val="FootnoteText"/>
        <w:rPr>
          <w:lang w:val="en-US"/>
        </w:rPr>
      </w:pPr>
      <w:r>
        <w:rPr>
          <w:rStyle w:val="FootnoteReference"/>
        </w:rPr>
        <w:footnoteRef/>
      </w:r>
      <w:r>
        <w:t xml:space="preserve"> </w:t>
      </w:r>
      <w:r w:rsidRPr="00A525C5">
        <w:t>https://portal.mwater.co/#/dashboards/02bba9ea86e5495682add83745522284</w:t>
      </w:r>
      <w:r>
        <w:t xml:space="preserve"> </w:t>
      </w:r>
    </w:p>
  </w:footnote>
  <w:footnote w:id="2">
    <w:p w14:paraId="272C5FC2" w14:textId="77777777" w:rsidR="005D5630" w:rsidRPr="00FE5158" w:rsidRDefault="005D5630" w:rsidP="000C649E">
      <w:pPr>
        <w:pStyle w:val="FootnoteText"/>
        <w:jc w:val="left"/>
        <w:rPr>
          <w:lang w:val="en-US"/>
        </w:rPr>
      </w:pPr>
      <w:r>
        <w:rPr>
          <w:rStyle w:val="FootnoteReference"/>
        </w:rPr>
        <w:footnoteRef/>
      </w:r>
      <w:r w:rsidRPr="000C649E">
        <w:rPr>
          <w:lang w:val="en-US"/>
        </w:rPr>
        <w:t xml:space="preserve"> https://www.unece.org/fileadmin/DAM/env/water/meetings/2019/6-7_Roundtable_Versoix/2.4_Senegal-_Pr%C3%A9sentation_BSSM-N_Ndour.pdf</w:t>
      </w:r>
    </w:p>
  </w:footnote>
  <w:footnote w:id="3">
    <w:p w14:paraId="7A883498" w14:textId="77777777" w:rsidR="005D5630" w:rsidRPr="00E53BEB" w:rsidRDefault="005D5630" w:rsidP="000C649E">
      <w:pPr>
        <w:pStyle w:val="FootnoteText"/>
        <w:rPr>
          <w:lang w:val="en-US"/>
        </w:rPr>
      </w:pPr>
      <w:r>
        <w:rPr>
          <w:rStyle w:val="FootnoteReference"/>
        </w:rPr>
        <w:footnoteRef/>
      </w:r>
      <w:r w:rsidRPr="000C649E">
        <w:rPr>
          <w:lang w:val="en-US"/>
        </w:rPr>
        <w:t xml:space="preserve"> http://www.dgpre.gouv.sn/index.php/nos-missions/</w:t>
      </w:r>
    </w:p>
  </w:footnote>
  <w:footnote w:id="4">
    <w:p w14:paraId="5656B430" w14:textId="77777777" w:rsidR="005D5630" w:rsidRPr="009C25F4" w:rsidRDefault="005D5630" w:rsidP="000C649E">
      <w:pPr>
        <w:pStyle w:val="FootnoteText"/>
        <w:rPr>
          <w:lang w:val="en-US"/>
        </w:rPr>
      </w:pPr>
      <w:r>
        <w:rPr>
          <w:rStyle w:val="FootnoteReference"/>
        </w:rPr>
        <w:footnoteRef/>
      </w:r>
      <w:r w:rsidRPr="000C649E">
        <w:rPr>
          <w:lang w:val="en-US"/>
        </w:rPr>
        <w:t xml:space="preserve"> </w:t>
      </w:r>
      <w:r>
        <w:rPr>
          <w:lang w:val="en-US"/>
        </w:rPr>
        <w:t>The function of prime minister was cancelled in 2019. Its role has been taken over by the Secretariat of the President.</w:t>
      </w:r>
    </w:p>
  </w:footnote>
  <w:footnote w:id="5">
    <w:p w14:paraId="0BFCFCAE" w14:textId="77777777" w:rsidR="005D5630" w:rsidRPr="00DD6508" w:rsidRDefault="005D5630" w:rsidP="000C649E">
      <w:pPr>
        <w:pStyle w:val="FootnoteText"/>
        <w:rPr>
          <w:lang w:val="en-US"/>
        </w:rPr>
      </w:pPr>
      <w:r>
        <w:rPr>
          <w:rStyle w:val="FootnoteReference"/>
        </w:rPr>
        <w:footnoteRef/>
      </w:r>
      <w:r w:rsidRPr="000C649E">
        <w:rPr>
          <w:lang w:val="en-US"/>
        </w:rPr>
        <w:t xml:space="preserve"> </w:t>
      </w:r>
      <w:r>
        <w:rPr>
          <w:lang w:val="en-US"/>
        </w:rPr>
        <w:t>The inventory of 2006-2007 covered the entire country except Casamance. The inventory of 2013 covered the Arachid Basin (central western part of the country).</w:t>
      </w:r>
    </w:p>
  </w:footnote>
  <w:footnote w:id="6">
    <w:p w14:paraId="3A697CF0" w14:textId="77777777" w:rsidR="005D5630" w:rsidRPr="00665ACE" w:rsidRDefault="005D5630" w:rsidP="000C649E">
      <w:pPr>
        <w:pStyle w:val="FootnoteText"/>
        <w:jc w:val="left"/>
        <w:rPr>
          <w:lang w:val="en-US"/>
        </w:rPr>
      </w:pPr>
      <w:r>
        <w:rPr>
          <w:rStyle w:val="FootnoteReference"/>
        </w:rPr>
        <w:footnoteRef/>
      </w:r>
      <w:r w:rsidRPr="000C649E">
        <w:rPr>
          <w:lang w:val="en-US"/>
        </w:rPr>
        <w:t xml:space="preserve"> https://www.unece.org/fileadmin/DAM/env/documents/2018/WAT/05May_28-30_IWRM_WGMA/Transboudary_Groundwaters.pdf</w:t>
      </w:r>
    </w:p>
  </w:footnote>
  <w:footnote w:id="7">
    <w:p w14:paraId="7BEAD4AB" w14:textId="77777777" w:rsidR="005D5630" w:rsidRPr="00665ACE" w:rsidRDefault="005D5630" w:rsidP="000C649E">
      <w:pPr>
        <w:pStyle w:val="FootnoteText"/>
        <w:rPr>
          <w:lang w:val="en-US"/>
        </w:rPr>
      </w:pPr>
      <w:r>
        <w:rPr>
          <w:rStyle w:val="FootnoteReference"/>
        </w:rPr>
        <w:footnoteRef/>
      </w:r>
      <w:r w:rsidRPr="000C649E">
        <w:rPr>
          <w:lang w:val="en-US"/>
        </w:rPr>
        <w:t xml:space="preserve"> https://www.un-igrac.org/resource/guideline-groundwater-monitoring-general-reference-purposes</w:t>
      </w:r>
    </w:p>
  </w:footnote>
  <w:footnote w:id="8">
    <w:p w14:paraId="7AEDA598" w14:textId="77777777" w:rsidR="005D5630" w:rsidRPr="00665ACE" w:rsidRDefault="005D5630" w:rsidP="000C649E">
      <w:pPr>
        <w:pStyle w:val="FootnoteText"/>
        <w:rPr>
          <w:lang w:val="en-US"/>
        </w:rPr>
      </w:pPr>
      <w:r>
        <w:rPr>
          <w:rStyle w:val="FootnoteReference"/>
        </w:rPr>
        <w:footnoteRef/>
      </w:r>
      <w:r w:rsidRPr="000C649E">
        <w:rPr>
          <w:lang w:val="en-US"/>
        </w:rPr>
        <w:t xml:space="preserve"> https://www.un-igrac.org/resource/sadc-framework-groundwater-data-collection-and-management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F9BF" w14:textId="77777777" w:rsidR="002F6D03" w:rsidRDefault="002F6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6CC0" w14:textId="31AB3DA9" w:rsidR="005D5630" w:rsidRPr="00052847" w:rsidRDefault="005D5630" w:rsidP="00052847">
    <w:pPr>
      <w:rPr>
        <w:sz w:val="2"/>
        <w:szCs w:val="2"/>
      </w:rPr>
    </w:pPr>
  </w:p>
  <w:p w14:paraId="5411F05F" w14:textId="77777777" w:rsidR="005D5630" w:rsidRPr="00052847" w:rsidRDefault="005D5630" w:rsidP="00382983">
    <w:pPr>
      <w:tabs>
        <w:tab w:val="left" w:pos="990"/>
      </w:tabs>
      <w:rPr>
        <w:sz w:val="2"/>
        <w:szCs w:val="2"/>
      </w:rPr>
    </w:pPr>
    <w:r>
      <w:rPr>
        <w:sz w:val="2"/>
        <w:szCs w:val="2"/>
      </w:rPr>
      <w:tab/>
    </w:r>
  </w:p>
  <w:tbl>
    <w:tblPr>
      <w:tblStyle w:val="TableGrid"/>
      <w:tblW w:w="1020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552"/>
      <w:gridCol w:w="2552"/>
      <w:gridCol w:w="2552"/>
    </w:tblGrid>
    <w:tr w:rsidR="005D5630" w14:paraId="431D882F" w14:textId="77777777" w:rsidTr="003A0C39">
      <w:trPr>
        <w:trHeight w:val="1418"/>
      </w:trPr>
      <w:tc>
        <w:tcPr>
          <w:tcW w:w="2552" w:type="dxa"/>
          <w:vAlign w:val="center"/>
        </w:tcPr>
        <w:p w14:paraId="02FEFFDC" w14:textId="77777777" w:rsidR="005D5630" w:rsidRDefault="005D5630" w:rsidP="00DE57B3">
          <w:pPr>
            <w:ind w:left="0"/>
            <w:jc w:val="center"/>
          </w:pPr>
          <w:r w:rsidRPr="00024B5F">
            <w:rPr>
              <w:noProof/>
              <w:sz w:val="40"/>
              <w:szCs w:val="40"/>
              <w:lang w:eastAsia="fr-CH"/>
            </w:rPr>
            <w:drawing>
              <wp:inline distT="0" distB="0" distL="0" distR="0" wp14:anchorId="0DA3ADE1" wp14:editId="5B524809">
                <wp:extent cx="1171575" cy="7823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1171575" cy="782320"/>
                        </a:xfrm>
                        <a:prstGeom prst="rect">
                          <a:avLst/>
                        </a:prstGeom>
                      </pic:spPr>
                    </pic:pic>
                  </a:graphicData>
                </a:graphic>
              </wp:inline>
            </w:drawing>
          </w:r>
        </w:p>
      </w:tc>
      <w:tc>
        <w:tcPr>
          <w:tcW w:w="2552" w:type="dxa"/>
          <w:vAlign w:val="center"/>
        </w:tcPr>
        <w:p w14:paraId="0BAA42AD" w14:textId="77777777" w:rsidR="005D5630" w:rsidRDefault="005D5630" w:rsidP="00DE57B3">
          <w:pPr>
            <w:ind w:left="0"/>
            <w:jc w:val="center"/>
          </w:pPr>
          <w:r w:rsidRPr="00024B5F">
            <w:rPr>
              <w:noProof/>
              <w:sz w:val="40"/>
              <w:szCs w:val="40"/>
              <w:lang w:eastAsia="fr-CH"/>
            </w:rPr>
            <w:drawing>
              <wp:inline distT="0" distB="0" distL="0" distR="0" wp14:anchorId="7EA25D0E" wp14:editId="35D8CF7B">
                <wp:extent cx="1428115" cy="71374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1428115" cy="713740"/>
                        </a:xfrm>
                        <a:prstGeom prst="rect">
                          <a:avLst/>
                        </a:prstGeom>
                      </pic:spPr>
                    </pic:pic>
                  </a:graphicData>
                </a:graphic>
              </wp:inline>
            </w:drawing>
          </w:r>
        </w:p>
      </w:tc>
      <w:tc>
        <w:tcPr>
          <w:tcW w:w="2552" w:type="dxa"/>
          <w:vAlign w:val="center"/>
        </w:tcPr>
        <w:p w14:paraId="1DCC94F9" w14:textId="77777777" w:rsidR="005D5630" w:rsidRDefault="005D5630" w:rsidP="00DE57B3">
          <w:pPr>
            <w:ind w:left="0"/>
            <w:jc w:val="center"/>
          </w:pPr>
          <w:r w:rsidRPr="00024B5F">
            <w:rPr>
              <w:noProof/>
              <w:sz w:val="40"/>
              <w:szCs w:val="40"/>
              <w:lang w:eastAsia="fr-CH"/>
            </w:rPr>
            <w:drawing>
              <wp:inline distT="0" distB="0" distL="0" distR="0" wp14:anchorId="599C8304" wp14:editId="645B086B">
                <wp:extent cx="1296035" cy="713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1296035" cy="713740"/>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14:paraId="4C7BC410" w14:textId="77777777" w:rsidR="005D5630" w:rsidRDefault="005D5630" w:rsidP="00DE57B3">
          <w:pPr>
            <w:ind w:left="0"/>
            <w:jc w:val="center"/>
          </w:pPr>
          <w:r w:rsidRPr="00024B5F">
            <w:rPr>
              <w:noProof/>
              <w:sz w:val="40"/>
              <w:szCs w:val="40"/>
              <w:lang w:eastAsia="fr-CH"/>
            </w:rPr>
            <w:drawing>
              <wp:inline distT="0" distB="0" distL="0" distR="0" wp14:anchorId="135ED427" wp14:editId="37FDA97F">
                <wp:extent cx="1141730" cy="7620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1141730" cy="762000"/>
                        </a:xfrm>
                        <a:prstGeom prst="rect">
                          <a:avLst/>
                        </a:prstGeom>
                      </pic:spPr>
                    </pic:pic>
                  </a:graphicData>
                </a:graphic>
              </wp:inline>
            </w:drawing>
          </w:r>
        </w:p>
      </w:tc>
    </w:tr>
    <w:tr w:rsidR="005D5630" w14:paraId="208446FA" w14:textId="77777777" w:rsidTr="00C830CB">
      <w:trPr>
        <w:trHeight w:val="2074"/>
      </w:trPr>
      <w:tc>
        <w:tcPr>
          <w:tcW w:w="5104" w:type="dxa"/>
          <w:gridSpan w:val="2"/>
          <w:vAlign w:val="center"/>
        </w:tcPr>
        <w:p w14:paraId="5A4CFC09" w14:textId="77777777" w:rsidR="005D5630" w:rsidRDefault="005D5630" w:rsidP="00DE57B3">
          <w:pPr>
            <w:ind w:left="0"/>
            <w:jc w:val="center"/>
          </w:pPr>
          <w:r>
            <w:rPr>
              <w:noProof/>
              <w:lang w:eastAsia="fr-CH"/>
            </w:rPr>
            <w:drawing>
              <wp:inline distT="0" distB="0" distL="0" distR="0" wp14:anchorId="195C3200" wp14:editId="00F6DAB5">
                <wp:extent cx="858741" cy="886634"/>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5">
                          <a:extLst>
                            <a:ext uri="{28A0092B-C50C-407E-A947-70E740481C1C}">
                              <a14:useLocalDpi xmlns:a14="http://schemas.microsoft.com/office/drawing/2010/main" val="0"/>
                            </a:ext>
                          </a:extLst>
                        </a:blip>
                        <a:stretch>
                          <a:fillRect/>
                        </a:stretch>
                      </pic:blipFill>
                      <pic:spPr>
                        <a:xfrm>
                          <a:off x="0" y="0"/>
                          <a:ext cx="871519" cy="899827"/>
                        </a:xfrm>
                        <a:prstGeom prst="rect">
                          <a:avLst/>
                        </a:prstGeom>
                      </pic:spPr>
                    </pic:pic>
                  </a:graphicData>
                </a:graphic>
              </wp:inline>
            </w:drawing>
          </w:r>
        </w:p>
      </w:tc>
      <w:tc>
        <w:tcPr>
          <w:tcW w:w="5104" w:type="dxa"/>
          <w:gridSpan w:val="2"/>
          <w:vAlign w:val="center"/>
        </w:tcPr>
        <w:p w14:paraId="4D6E6E24" w14:textId="395E4342" w:rsidR="005D5630" w:rsidRDefault="005D5630" w:rsidP="00DE57B3">
          <w:pPr>
            <w:ind w:left="0"/>
            <w:jc w:val="center"/>
          </w:pPr>
          <w:r>
            <w:rPr>
              <w:noProof/>
              <w:lang w:eastAsia="fr-CH"/>
            </w:rPr>
            <w:drawing>
              <wp:inline distT="0" distB="0" distL="0" distR="0" wp14:anchorId="193107C8" wp14:editId="090435B7">
                <wp:extent cx="658586" cy="104775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6">
                          <a:extLst>
                            <a:ext uri="{28A0092B-C50C-407E-A947-70E740481C1C}">
                              <a14:useLocalDpi xmlns:a14="http://schemas.microsoft.com/office/drawing/2010/main" val="0"/>
                            </a:ext>
                          </a:extLst>
                        </a:blip>
                        <a:stretch>
                          <a:fillRect/>
                        </a:stretch>
                      </pic:blipFill>
                      <pic:spPr>
                        <a:xfrm>
                          <a:off x="0" y="0"/>
                          <a:ext cx="658586" cy="1047750"/>
                        </a:xfrm>
                        <a:prstGeom prst="rect">
                          <a:avLst/>
                        </a:prstGeom>
                      </pic:spPr>
                    </pic:pic>
                  </a:graphicData>
                </a:graphic>
              </wp:inline>
            </w:drawing>
          </w:r>
        </w:p>
      </w:tc>
    </w:tr>
  </w:tbl>
  <w:p w14:paraId="1E9F60CB" w14:textId="644206F6" w:rsidR="005D5630" w:rsidRPr="00052847" w:rsidRDefault="005D5630" w:rsidP="00382983">
    <w:pPr>
      <w:tabs>
        <w:tab w:val="left" w:pos="990"/>
      </w:tabs>
      <w:rPr>
        <w:sz w:val="2"/>
        <w:szCs w:val="2"/>
      </w:rPr>
    </w:pPr>
  </w:p>
  <w:p w14:paraId="129CE3E0" w14:textId="1E3627BE" w:rsidR="005D5630" w:rsidRPr="00052847" w:rsidRDefault="005D5630" w:rsidP="0005284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35FA" w14:textId="77777777" w:rsidR="002F6D03" w:rsidRDefault="002F6D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3676" w14:textId="64E0F56E" w:rsidR="005D5630" w:rsidRPr="00052847" w:rsidRDefault="005D5630" w:rsidP="00052847">
    <w:pPr>
      <w:rPr>
        <w:sz w:val="2"/>
        <w:szCs w:val="2"/>
      </w:rPr>
    </w:pPr>
  </w:p>
  <w:tbl>
    <w:tblPr>
      <w:tblW w:w="10164" w:type="dxa"/>
      <w:tblInd w:w="-567" w:type="dxa"/>
      <w:tblBorders>
        <w:bottom w:val="single" w:sz="18" w:space="0" w:color="8496B0" w:themeColor="text2" w:themeTint="99"/>
      </w:tblBorders>
      <w:tblLayout w:type="fixed"/>
      <w:tblLook w:val="04A0" w:firstRow="1" w:lastRow="0" w:firstColumn="1" w:lastColumn="0" w:noHBand="0" w:noVBand="1"/>
    </w:tblPr>
    <w:tblGrid>
      <w:gridCol w:w="2552"/>
      <w:gridCol w:w="2977"/>
      <w:gridCol w:w="2551"/>
      <w:gridCol w:w="2084"/>
    </w:tblGrid>
    <w:tr w:rsidR="005D5630" w:rsidRPr="00370EFC" w14:paraId="59FC9DBC" w14:textId="77777777" w:rsidTr="00C83D85">
      <w:trPr>
        <w:trHeight w:val="1276"/>
      </w:trPr>
      <w:tc>
        <w:tcPr>
          <w:tcW w:w="2552" w:type="dxa"/>
          <w:shd w:val="clear" w:color="auto" w:fill="auto"/>
          <w:vAlign w:val="center"/>
        </w:tcPr>
        <w:p w14:paraId="5EC9C6C1" w14:textId="1AF69142" w:rsidR="005D5630" w:rsidRPr="00370EFC" w:rsidRDefault="005D5630" w:rsidP="00C83D85">
          <w:pPr>
            <w:pStyle w:val="Header"/>
            <w:spacing w:before="0" w:after="0"/>
            <w:ind w:left="0"/>
            <w:jc w:val="center"/>
            <w:rPr>
              <w:sz w:val="12"/>
              <w:szCs w:val="12"/>
            </w:rPr>
          </w:pPr>
          <w:r w:rsidRPr="00024B5F">
            <w:rPr>
              <w:noProof/>
              <w:sz w:val="40"/>
              <w:szCs w:val="40"/>
              <w:lang w:eastAsia="fr-CH"/>
            </w:rPr>
            <w:drawing>
              <wp:inline distT="0" distB="0" distL="0" distR="0" wp14:anchorId="378C4013" wp14:editId="31185A94">
                <wp:extent cx="756000" cy="507600"/>
                <wp:effectExtent l="0" t="0" r="635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756000" cy="507600"/>
                        </a:xfrm>
                        <a:prstGeom prst="rect">
                          <a:avLst/>
                        </a:prstGeom>
                      </pic:spPr>
                    </pic:pic>
                  </a:graphicData>
                </a:graphic>
              </wp:inline>
            </w:drawing>
          </w:r>
        </w:p>
      </w:tc>
      <w:tc>
        <w:tcPr>
          <w:tcW w:w="2977" w:type="dxa"/>
          <w:vAlign w:val="center"/>
        </w:tcPr>
        <w:p w14:paraId="7DDAB2E6" w14:textId="2D940390" w:rsidR="005D5630" w:rsidRPr="00370EFC" w:rsidRDefault="005D5630"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7144F5D0" wp14:editId="4DE16A5A">
                <wp:extent cx="900000" cy="45000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tc>
        <w:tcPr>
          <w:tcW w:w="2551" w:type="dxa"/>
          <w:vAlign w:val="center"/>
        </w:tcPr>
        <w:p w14:paraId="4A0E2B1F" w14:textId="77777777" w:rsidR="005D5630" w:rsidRPr="00370EFC" w:rsidRDefault="005D5630"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39E04959" wp14:editId="526AC50A">
                <wp:extent cx="900000" cy="496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900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2084" w:type="dxa"/>
          <w:shd w:val="clear" w:color="auto" w:fill="auto"/>
          <w:vAlign w:val="center"/>
        </w:tcPr>
        <w:p w14:paraId="3BF8FC87" w14:textId="5ACF0F4A" w:rsidR="005D5630" w:rsidRPr="00C83D85" w:rsidRDefault="005D5630" w:rsidP="00C83D85">
          <w:pPr>
            <w:pStyle w:val="Header"/>
            <w:spacing w:before="0" w:after="0"/>
            <w:ind w:left="0"/>
            <w:jc w:val="center"/>
            <w:rPr>
              <w:rFonts w:ascii="National Light" w:hAnsi="National Light"/>
              <w:color w:val="4F81BD"/>
              <w:sz w:val="16"/>
              <w:szCs w:val="16"/>
            </w:rPr>
          </w:pPr>
          <w:r w:rsidRPr="00024B5F">
            <w:rPr>
              <w:noProof/>
              <w:sz w:val="40"/>
              <w:szCs w:val="40"/>
              <w:lang w:eastAsia="fr-CH"/>
            </w:rPr>
            <w:drawing>
              <wp:inline distT="0" distB="0" distL="0" distR="0" wp14:anchorId="1364FF69" wp14:editId="7D7FC7B0">
                <wp:extent cx="756000" cy="50400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756000" cy="504000"/>
                        </a:xfrm>
                        <a:prstGeom prst="rect">
                          <a:avLst/>
                        </a:prstGeom>
                      </pic:spPr>
                    </pic:pic>
                  </a:graphicData>
                </a:graphic>
              </wp:inline>
            </w:drawing>
          </w:r>
        </w:p>
      </w:tc>
    </w:tr>
  </w:tbl>
  <w:p w14:paraId="327DC898" w14:textId="6D587BD1" w:rsidR="005D5630" w:rsidRPr="00052847" w:rsidRDefault="005D5630" w:rsidP="00052847">
    <w:pPr>
      <w:rPr>
        <w:sz w:val="2"/>
        <w:szCs w:val="2"/>
      </w:rPr>
    </w:pPr>
  </w:p>
  <w:p w14:paraId="1E853EDF" w14:textId="57F935EA" w:rsidR="005D5630" w:rsidRPr="00052847" w:rsidRDefault="005D5630" w:rsidP="00052847">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110C" w14:textId="77777777" w:rsidR="005D5630" w:rsidRPr="00052847" w:rsidRDefault="005D5630" w:rsidP="00052847">
    <w:pPr>
      <w:rPr>
        <w:sz w:val="2"/>
        <w:szCs w:val="2"/>
      </w:rPr>
    </w:pPr>
  </w:p>
  <w:tbl>
    <w:tblPr>
      <w:tblW w:w="10164" w:type="dxa"/>
      <w:tblInd w:w="-567" w:type="dxa"/>
      <w:tblBorders>
        <w:bottom w:val="single" w:sz="18" w:space="0" w:color="8496B0" w:themeColor="text2" w:themeTint="99"/>
      </w:tblBorders>
      <w:tblLayout w:type="fixed"/>
      <w:tblLook w:val="04A0" w:firstRow="1" w:lastRow="0" w:firstColumn="1" w:lastColumn="0" w:noHBand="0" w:noVBand="1"/>
    </w:tblPr>
    <w:tblGrid>
      <w:gridCol w:w="2552"/>
      <w:gridCol w:w="2977"/>
      <w:gridCol w:w="2551"/>
      <w:gridCol w:w="2084"/>
    </w:tblGrid>
    <w:tr w:rsidR="005D5630" w:rsidRPr="00370EFC" w14:paraId="31C56B20" w14:textId="77777777" w:rsidTr="00C83D85">
      <w:trPr>
        <w:trHeight w:val="1276"/>
      </w:trPr>
      <w:tc>
        <w:tcPr>
          <w:tcW w:w="2552" w:type="dxa"/>
          <w:shd w:val="clear" w:color="auto" w:fill="auto"/>
          <w:vAlign w:val="center"/>
        </w:tcPr>
        <w:p w14:paraId="7866A304" w14:textId="77777777" w:rsidR="005D5630" w:rsidRPr="00370EFC" w:rsidRDefault="005D5630" w:rsidP="00C83D85">
          <w:pPr>
            <w:pStyle w:val="Header"/>
            <w:spacing w:before="0" w:after="0"/>
            <w:ind w:left="0"/>
            <w:jc w:val="center"/>
            <w:rPr>
              <w:sz w:val="12"/>
              <w:szCs w:val="12"/>
            </w:rPr>
          </w:pPr>
          <w:r w:rsidRPr="00024B5F">
            <w:rPr>
              <w:noProof/>
              <w:sz w:val="40"/>
              <w:szCs w:val="40"/>
              <w:lang w:eastAsia="fr-CH"/>
            </w:rPr>
            <w:drawing>
              <wp:inline distT="0" distB="0" distL="0" distR="0" wp14:anchorId="07976A9C" wp14:editId="56E1A74E">
                <wp:extent cx="756000" cy="507600"/>
                <wp:effectExtent l="0" t="0" r="635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756000" cy="507600"/>
                        </a:xfrm>
                        <a:prstGeom prst="rect">
                          <a:avLst/>
                        </a:prstGeom>
                      </pic:spPr>
                    </pic:pic>
                  </a:graphicData>
                </a:graphic>
              </wp:inline>
            </w:drawing>
          </w:r>
        </w:p>
      </w:tc>
      <w:tc>
        <w:tcPr>
          <w:tcW w:w="2977" w:type="dxa"/>
          <w:vAlign w:val="center"/>
        </w:tcPr>
        <w:p w14:paraId="1488D05C" w14:textId="77777777" w:rsidR="005D5630" w:rsidRPr="00370EFC" w:rsidRDefault="005D5630"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29DC43DD" wp14:editId="022437AD">
                <wp:extent cx="900000" cy="45000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tc>
        <w:tcPr>
          <w:tcW w:w="2551" w:type="dxa"/>
          <w:vAlign w:val="center"/>
        </w:tcPr>
        <w:p w14:paraId="5FAE1AD5" w14:textId="77777777" w:rsidR="005D5630" w:rsidRPr="00370EFC" w:rsidRDefault="005D5630"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427898C7" wp14:editId="2789D53A">
                <wp:extent cx="900000" cy="496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900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2084" w:type="dxa"/>
          <w:shd w:val="clear" w:color="auto" w:fill="auto"/>
          <w:vAlign w:val="center"/>
        </w:tcPr>
        <w:p w14:paraId="35484D2C" w14:textId="77777777" w:rsidR="005D5630" w:rsidRPr="00C83D85" w:rsidRDefault="005D5630" w:rsidP="00C83D85">
          <w:pPr>
            <w:pStyle w:val="Header"/>
            <w:spacing w:before="0" w:after="0"/>
            <w:ind w:left="0"/>
            <w:jc w:val="center"/>
            <w:rPr>
              <w:rFonts w:ascii="National Light" w:hAnsi="National Light"/>
              <w:color w:val="4F81BD"/>
              <w:sz w:val="16"/>
              <w:szCs w:val="16"/>
            </w:rPr>
          </w:pPr>
          <w:r w:rsidRPr="00024B5F">
            <w:rPr>
              <w:noProof/>
              <w:sz w:val="40"/>
              <w:szCs w:val="40"/>
              <w:lang w:eastAsia="fr-CH"/>
            </w:rPr>
            <w:drawing>
              <wp:inline distT="0" distB="0" distL="0" distR="0" wp14:anchorId="6DC5CEC2" wp14:editId="5899ED9F">
                <wp:extent cx="756000" cy="50400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756000" cy="504000"/>
                        </a:xfrm>
                        <a:prstGeom prst="rect">
                          <a:avLst/>
                        </a:prstGeom>
                      </pic:spPr>
                    </pic:pic>
                  </a:graphicData>
                </a:graphic>
              </wp:inline>
            </w:drawing>
          </w:r>
        </w:p>
      </w:tc>
    </w:tr>
  </w:tbl>
  <w:p w14:paraId="7DAB71CE" w14:textId="77777777" w:rsidR="005D5630" w:rsidRPr="00052847" w:rsidRDefault="005D5630" w:rsidP="00052847">
    <w:pPr>
      <w:rPr>
        <w:sz w:val="2"/>
        <w:szCs w:val="2"/>
      </w:rPr>
    </w:pPr>
  </w:p>
  <w:p w14:paraId="3539DB1B" w14:textId="77777777" w:rsidR="005D5630" w:rsidRPr="00052847" w:rsidRDefault="005D5630" w:rsidP="0005284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68F4"/>
    <w:multiLevelType w:val="hybridMultilevel"/>
    <w:tmpl w:val="48788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6643C5"/>
    <w:multiLevelType w:val="hybridMultilevel"/>
    <w:tmpl w:val="4ECC4ED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56E06"/>
    <w:multiLevelType w:val="hybridMultilevel"/>
    <w:tmpl w:val="40D6D570"/>
    <w:lvl w:ilvl="0" w:tplc="20000001">
      <w:start w:val="1"/>
      <w:numFmt w:val="bullet"/>
      <w:lvlText w:val=""/>
      <w:lvlJc w:val="left"/>
      <w:pPr>
        <w:ind w:left="153" w:hanging="360"/>
      </w:pPr>
      <w:rPr>
        <w:rFonts w:ascii="Symbol" w:hAnsi="Symbol" w:hint="default"/>
      </w:rPr>
    </w:lvl>
    <w:lvl w:ilvl="1" w:tplc="20000003" w:tentative="1">
      <w:start w:val="1"/>
      <w:numFmt w:val="bullet"/>
      <w:lvlText w:val="o"/>
      <w:lvlJc w:val="left"/>
      <w:pPr>
        <w:ind w:left="873" w:hanging="360"/>
      </w:pPr>
      <w:rPr>
        <w:rFonts w:ascii="Courier New" w:hAnsi="Courier New" w:cs="Courier New" w:hint="default"/>
      </w:rPr>
    </w:lvl>
    <w:lvl w:ilvl="2" w:tplc="20000005" w:tentative="1">
      <w:start w:val="1"/>
      <w:numFmt w:val="bullet"/>
      <w:lvlText w:val=""/>
      <w:lvlJc w:val="left"/>
      <w:pPr>
        <w:ind w:left="1593" w:hanging="360"/>
      </w:pPr>
      <w:rPr>
        <w:rFonts w:ascii="Wingdings" w:hAnsi="Wingdings" w:hint="default"/>
      </w:rPr>
    </w:lvl>
    <w:lvl w:ilvl="3" w:tplc="20000001" w:tentative="1">
      <w:start w:val="1"/>
      <w:numFmt w:val="bullet"/>
      <w:lvlText w:val=""/>
      <w:lvlJc w:val="left"/>
      <w:pPr>
        <w:ind w:left="2313" w:hanging="360"/>
      </w:pPr>
      <w:rPr>
        <w:rFonts w:ascii="Symbol" w:hAnsi="Symbol" w:hint="default"/>
      </w:rPr>
    </w:lvl>
    <w:lvl w:ilvl="4" w:tplc="20000003" w:tentative="1">
      <w:start w:val="1"/>
      <w:numFmt w:val="bullet"/>
      <w:lvlText w:val="o"/>
      <w:lvlJc w:val="left"/>
      <w:pPr>
        <w:ind w:left="3033" w:hanging="360"/>
      </w:pPr>
      <w:rPr>
        <w:rFonts w:ascii="Courier New" w:hAnsi="Courier New" w:cs="Courier New" w:hint="default"/>
      </w:rPr>
    </w:lvl>
    <w:lvl w:ilvl="5" w:tplc="20000005" w:tentative="1">
      <w:start w:val="1"/>
      <w:numFmt w:val="bullet"/>
      <w:lvlText w:val=""/>
      <w:lvlJc w:val="left"/>
      <w:pPr>
        <w:ind w:left="3753" w:hanging="360"/>
      </w:pPr>
      <w:rPr>
        <w:rFonts w:ascii="Wingdings" w:hAnsi="Wingdings" w:hint="default"/>
      </w:rPr>
    </w:lvl>
    <w:lvl w:ilvl="6" w:tplc="20000001" w:tentative="1">
      <w:start w:val="1"/>
      <w:numFmt w:val="bullet"/>
      <w:lvlText w:val=""/>
      <w:lvlJc w:val="left"/>
      <w:pPr>
        <w:ind w:left="4473" w:hanging="360"/>
      </w:pPr>
      <w:rPr>
        <w:rFonts w:ascii="Symbol" w:hAnsi="Symbol" w:hint="default"/>
      </w:rPr>
    </w:lvl>
    <w:lvl w:ilvl="7" w:tplc="20000003" w:tentative="1">
      <w:start w:val="1"/>
      <w:numFmt w:val="bullet"/>
      <w:lvlText w:val="o"/>
      <w:lvlJc w:val="left"/>
      <w:pPr>
        <w:ind w:left="5193" w:hanging="360"/>
      </w:pPr>
      <w:rPr>
        <w:rFonts w:ascii="Courier New" w:hAnsi="Courier New" w:cs="Courier New" w:hint="default"/>
      </w:rPr>
    </w:lvl>
    <w:lvl w:ilvl="8" w:tplc="20000005" w:tentative="1">
      <w:start w:val="1"/>
      <w:numFmt w:val="bullet"/>
      <w:lvlText w:val=""/>
      <w:lvlJc w:val="left"/>
      <w:pPr>
        <w:ind w:left="5913" w:hanging="360"/>
      </w:pPr>
      <w:rPr>
        <w:rFonts w:ascii="Wingdings" w:hAnsi="Wingdings" w:hint="default"/>
      </w:rPr>
    </w:lvl>
  </w:abstractNum>
  <w:abstractNum w:abstractNumId="3" w15:restartNumberingAfterBreak="0">
    <w:nsid w:val="22DD43BA"/>
    <w:multiLevelType w:val="multilevel"/>
    <w:tmpl w:val="C4E4D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D94CC6"/>
    <w:multiLevelType w:val="hybridMultilevel"/>
    <w:tmpl w:val="F850CB7C"/>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5" w15:restartNumberingAfterBreak="0">
    <w:nsid w:val="2F324588"/>
    <w:multiLevelType w:val="hybridMultilevel"/>
    <w:tmpl w:val="A4C6D526"/>
    <w:lvl w:ilvl="0" w:tplc="280C0005">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6" w15:restartNumberingAfterBreak="0">
    <w:nsid w:val="34F00D83"/>
    <w:multiLevelType w:val="hybridMultilevel"/>
    <w:tmpl w:val="EE386446"/>
    <w:lvl w:ilvl="0" w:tplc="6A8C06EC">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73D625A"/>
    <w:multiLevelType w:val="hybridMultilevel"/>
    <w:tmpl w:val="6958F52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4038E6"/>
    <w:multiLevelType w:val="hybridMultilevel"/>
    <w:tmpl w:val="4304450A"/>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9" w15:restartNumberingAfterBreak="0">
    <w:nsid w:val="431F3D51"/>
    <w:multiLevelType w:val="hybridMultilevel"/>
    <w:tmpl w:val="6C64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02805"/>
    <w:multiLevelType w:val="multilevel"/>
    <w:tmpl w:val="6C0C738E"/>
    <w:lvl w:ilvl="0">
      <w:start w:val="1"/>
      <w:numFmt w:val="decimal"/>
      <w:pStyle w:val="Heading2"/>
      <w:lvlText w:val="%1"/>
      <w:lvlJc w:val="left"/>
      <w:pPr>
        <w:ind w:left="-210" w:hanging="357"/>
      </w:pPr>
      <w:rPr>
        <w:rFonts w:hint="default"/>
        <w:sz w:val="32"/>
      </w:rPr>
    </w:lvl>
    <w:lvl w:ilvl="1">
      <w:start w:val="1"/>
      <w:numFmt w:val="decimal"/>
      <w:pStyle w:val="Heading3"/>
      <w:lvlText w:val="%1.%2"/>
      <w:lvlJc w:val="left"/>
      <w:pPr>
        <w:ind w:left="-113" w:hanging="454"/>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340" w:hanging="907"/>
      </w:pPr>
      <w:rPr>
        <w:rFonts w:hint="default"/>
      </w:rPr>
    </w:lvl>
    <w:lvl w:ilvl="3">
      <w:start w:val="1"/>
      <w:numFmt w:val="decimal"/>
      <w:lvlText w:val="%1.%2.%3.%4"/>
      <w:lvlJc w:val="left"/>
      <w:pPr>
        <w:ind w:left="-210" w:hanging="357"/>
      </w:pPr>
      <w:rPr>
        <w:rFonts w:hint="default"/>
      </w:rPr>
    </w:lvl>
    <w:lvl w:ilvl="4">
      <w:start w:val="1"/>
      <w:numFmt w:val="decimal"/>
      <w:lvlText w:val="%1.%2.%3.%4.%5"/>
      <w:lvlJc w:val="left"/>
      <w:pPr>
        <w:ind w:left="-210" w:hanging="357"/>
      </w:pPr>
      <w:rPr>
        <w:rFonts w:hint="default"/>
      </w:rPr>
    </w:lvl>
    <w:lvl w:ilvl="5">
      <w:start w:val="1"/>
      <w:numFmt w:val="decimal"/>
      <w:lvlText w:val="%1.%2.%3.%4.%5.%6"/>
      <w:lvlJc w:val="left"/>
      <w:pPr>
        <w:ind w:left="-210" w:hanging="357"/>
      </w:pPr>
      <w:rPr>
        <w:rFonts w:hint="default"/>
      </w:rPr>
    </w:lvl>
    <w:lvl w:ilvl="6">
      <w:start w:val="1"/>
      <w:numFmt w:val="decimal"/>
      <w:lvlText w:val="%1.%2.%3.%4.%5.%6.%7"/>
      <w:lvlJc w:val="left"/>
      <w:pPr>
        <w:ind w:left="-210" w:hanging="357"/>
      </w:pPr>
      <w:rPr>
        <w:rFonts w:hint="default"/>
      </w:rPr>
    </w:lvl>
    <w:lvl w:ilvl="7">
      <w:start w:val="1"/>
      <w:numFmt w:val="decimal"/>
      <w:lvlText w:val="%1.%2.%3.%4.%5.%6.%7.%8"/>
      <w:lvlJc w:val="left"/>
      <w:pPr>
        <w:ind w:left="-210" w:hanging="357"/>
      </w:pPr>
      <w:rPr>
        <w:rFonts w:hint="default"/>
      </w:rPr>
    </w:lvl>
    <w:lvl w:ilvl="8">
      <w:start w:val="1"/>
      <w:numFmt w:val="decimal"/>
      <w:lvlText w:val="%1.%2.%3.%4.%5.%6.%7.%8.%9"/>
      <w:lvlJc w:val="left"/>
      <w:pPr>
        <w:ind w:left="-210" w:hanging="357"/>
      </w:pPr>
      <w:rPr>
        <w:rFonts w:hint="default"/>
      </w:rPr>
    </w:lvl>
  </w:abstractNum>
  <w:abstractNum w:abstractNumId="11" w15:restartNumberingAfterBreak="0">
    <w:nsid w:val="52472241"/>
    <w:multiLevelType w:val="hybridMultilevel"/>
    <w:tmpl w:val="6F6C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408CF"/>
    <w:multiLevelType w:val="hybridMultilevel"/>
    <w:tmpl w:val="293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31E79"/>
    <w:multiLevelType w:val="hybridMultilevel"/>
    <w:tmpl w:val="85A6CBBA"/>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14" w15:restartNumberingAfterBreak="0">
    <w:nsid w:val="6EA90644"/>
    <w:multiLevelType w:val="hybridMultilevel"/>
    <w:tmpl w:val="24A8B792"/>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15" w15:restartNumberingAfterBreak="0">
    <w:nsid w:val="71AE7448"/>
    <w:multiLevelType w:val="hybridMultilevel"/>
    <w:tmpl w:val="BA38AF8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85761F"/>
    <w:multiLevelType w:val="hybridMultilevel"/>
    <w:tmpl w:val="B87E693A"/>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17" w15:restartNumberingAfterBreak="0">
    <w:nsid w:val="75FD29BB"/>
    <w:multiLevelType w:val="hybridMultilevel"/>
    <w:tmpl w:val="35A6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B11B47"/>
    <w:multiLevelType w:val="hybridMultilevel"/>
    <w:tmpl w:val="5BE011A0"/>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19" w15:restartNumberingAfterBreak="0">
    <w:nsid w:val="7CD71553"/>
    <w:multiLevelType w:val="hybridMultilevel"/>
    <w:tmpl w:val="AD0E6800"/>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20" w15:restartNumberingAfterBreak="0">
    <w:nsid w:val="7EF853CF"/>
    <w:multiLevelType w:val="hybridMultilevel"/>
    <w:tmpl w:val="C92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18"/>
  </w:num>
  <w:num w:numId="5">
    <w:abstractNumId w:val="8"/>
  </w:num>
  <w:num w:numId="6">
    <w:abstractNumId w:val="13"/>
  </w:num>
  <w:num w:numId="7">
    <w:abstractNumId w:val="16"/>
  </w:num>
  <w:num w:numId="8">
    <w:abstractNumId w:val="4"/>
  </w:num>
  <w:num w:numId="9">
    <w:abstractNumId w:val="19"/>
  </w:num>
  <w:num w:numId="10">
    <w:abstractNumId w:val="3"/>
  </w:num>
  <w:num w:numId="11">
    <w:abstractNumId w:val="9"/>
  </w:num>
  <w:num w:numId="12">
    <w:abstractNumId w:val="2"/>
  </w:num>
  <w:num w:numId="13">
    <w:abstractNumId w:val="0"/>
  </w:num>
  <w:num w:numId="14">
    <w:abstractNumId w:val="6"/>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 w:numId="19">
    <w:abstractNumId w:val="20"/>
  </w:num>
  <w:num w:numId="20">
    <w:abstractNumId w:val="1"/>
  </w:num>
  <w:num w:numId="21">
    <w:abstractNumId w:val="7"/>
  </w:num>
  <w:num w:numId="2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7A"/>
    <w:rsid w:val="000114C8"/>
    <w:rsid w:val="00011C23"/>
    <w:rsid w:val="000126B6"/>
    <w:rsid w:val="0001645B"/>
    <w:rsid w:val="000246BB"/>
    <w:rsid w:val="00024A6E"/>
    <w:rsid w:val="00025ADD"/>
    <w:rsid w:val="00032BD1"/>
    <w:rsid w:val="00033040"/>
    <w:rsid w:val="00035767"/>
    <w:rsid w:val="00040DFB"/>
    <w:rsid w:val="00041840"/>
    <w:rsid w:val="00043AF2"/>
    <w:rsid w:val="000467BE"/>
    <w:rsid w:val="000475E3"/>
    <w:rsid w:val="00052847"/>
    <w:rsid w:val="00052CED"/>
    <w:rsid w:val="000564C4"/>
    <w:rsid w:val="00064155"/>
    <w:rsid w:val="00065C9D"/>
    <w:rsid w:val="00065CA8"/>
    <w:rsid w:val="000668BD"/>
    <w:rsid w:val="00071043"/>
    <w:rsid w:val="00071857"/>
    <w:rsid w:val="00082A68"/>
    <w:rsid w:val="00082CC6"/>
    <w:rsid w:val="0008672F"/>
    <w:rsid w:val="00090C4F"/>
    <w:rsid w:val="000A5ADA"/>
    <w:rsid w:val="000B46ED"/>
    <w:rsid w:val="000B6BAD"/>
    <w:rsid w:val="000C37C2"/>
    <w:rsid w:val="000C6028"/>
    <w:rsid w:val="000C649E"/>
    <w:rsid w:val="000D198B"/>
    <w:rsid w:val="000D256F"/>
    <w:rsid w:val="000D29FF"/>
    <w:rsid w:val="000D4609"/>
    <w:rsid w:val="000D677F"/>
    <w:rsid w:val="000D755C"/>
    <w:rsid w:val="000E2D0C"/>
    <w:rsid w:val="000E5757"/>
    <w:rsid w:val="000E585E"/>
    <w:rsid w:val="000E6C6B"/>
    <w:rsid w:val="000F1757"/>
    <w:rsid w:val="000F2F80"/>
    <w:rsid w:val="000F53C8"/>
    <w:rsid w:val="000F667E"/>
    <w:rsid w:val="000F7213"/>
    <w:rsid w:val="001118DA"/>
    <w:rsid w:val="0011539E"/>
    <w:rsid w:val="001206CD"/>
    <w:rsid w:val="00121C5D"/>
    <w:rsid w:val="00122956"/>
    <w:rsid w:val="001242E1"/>
    <w:rsid w:val="0013248A"/>
    <w:rsid w:val="00134227"/>
    <w:rsid w:val="0013772F"/>
    <w:rsid w:val="001410E7"/>
    <w:rsid w:val="001430F6"/>
    <w:rsid w:val="00146362"/>
    <w:rsid w:val="001467D7"/>
    <w:rsid w:val="00146C2B"/>
    <w:rsid w:val="00150A97"/>
    <w:rsid w:val="00155EB2"/>
    <w:rsid w:val="001607B7"/>
    <w:rsid w:val="00171CCB"/>
    <w:rsid w:val="001739CA"/>
    <w:rsid w:val="00173A96"/>
    <w:rsid w:val="001801F7"/>
    <w:rsid w:val="00181E86"/>
    <w:rsid w:val="00190EA0"/>
    <w:rsid w:val="00191CEE"/>
    <w:rsid w:val="001A2257"/>
    <w:rsid w:val="001A7D90"/>
    <w:rsid w:val="001B280D"/>
    <w:rsid w:val="001B717E"/>
    <w:rsid w:val="001C1DB5"/>
    <w:rsid w:val="001C2FF8"/>
    <w:rsid w:val="001C53B4"/>
    <w:rsid w:val="001D03FE"/>
    <w:rsid w:val="001D1AAF"/>
    <w:rsid w:val="001D4D28"/>
    <w:rsid w:val="001D5373"/>
    <w:rsid w:val="001D7617"/>
    <w:rsid w:val="001E364E"/>
    <w:rsid w:val="001E734A"/>
    <w:rsid w:val="001F00DB"/>
    <w:rsid w:val="001F0A73"/>
    <w:rsid w:val="001F1DF3"/>
    <w:rsid w:val="001F2710"/>
    <w:rsid w:val="001F3A01"/>
    <w:rsid w:val="001F4FAE"/>
    <w:rsid w:val="001F715E"/>
    <w:rsid w:val="001F7CD1"/>
    <w:rsid w:val="002041F0"/>
    <w:rsid w:val="00206944"/>
    <w:rsid w:val="002070A5"/>
    <w:rsid w:val="00210024"/>
    <w:rsid w:val="00210939"/>
    <w:rsid w:val="00217CFF"/>
    <w:rsid w:val="002206E1"/>
    <w:rsid w:val="00221A18"/>
    <w:rsid w:val="00227A56"/>
    <w:rsid w:val="00230DFE"/>
    <w:rsid w:val="00230F20"/>
    <w:rsid w:val="0023507C"/>
    <w:rsid w:val="00243667"/>
    <w:rsid w:val="00245ECB"/>
    <w:rsid w:val="002507CB"/>
    <w:rsid w:val="00251BB4"/>
    <w:rsid w:val="00255598"/>
    <w:rsid w:val="00265EB7"/>
    <w:rsid w:val="00267B16"/>
    <w:rsid w:val="00271B8A"/>
    <w:rsid w:val="002736E7"/>
    <w:rsid w:val="002758B7"/>
    <w:rsid w:val="002764CC"/>
    <w:rsid w:val="00283FA3"/>
    <w:rsid w:val="002905D2"/>
    <w:rsid w:val="0029433B"/>
    <w:rsid w:val="00295CE1"/>
    <w:rsid w:val="002A6DC6"/>
    <w:rsid w:val="002B057F"/>
    <w:rsid w:val="002B05CF"/>
    <w:rsid w:val="002B15A7"/>
    <w:rsid w:val="002B4DDF"/>
    <w:rsid w:val="002C36E3"/>
    <w:rsid w:val="002C4DD1"/>
    <w:rsid w:val="002C551D"/>
    <w:rsid w:val="002C74EB"/>
    <w:rsid w:val="002D0FD6"/>
    <w:rsid w:val="002D7630"/>
    <w:rsid w:val="002E2314"/>
    <w:rsid w:val="002E38BC"/>
    <w:rsid w:val="002F4220"/>
    <w:rsid w:val="002F64F3"/>
    <w:rsid w:val="002F6D03"/>
    <w:rsid w:val="003025F4"/>
    <w:rsid w:val="00303437"/>
    <w:rsid w:val="0030384B"/>
    <w:rsid w:val="00316726"/>
    <w:rsid w:val="00326298"/>
    <w:rsid w:val="003308A7"/>
    <w:rsid w:val="00330BD6"/>
    <w:rsid w:val="0033210A"/>
    <w:rsid w:val="00342C68"/>
    <w:rsid w:val="00345D7B"/>
    <w:rsid w:val="003462B4"/>
    <w:rsid w:val="003522B1"/>
    <w:rsid w:val="00361498"/>
    <w:rsid w:val="00364CB9"/>
    <w:rsid w:val="00370EFC"/>
    <w:rsid w:val="00372163"/>
    <w:rsid w:val="00374C69"/>
    <w:rsid w:val="00376793"/>
    <w:rsid w:val="003817E3"/>
    <w:rsid w:val="00382983"/>
    <w:rsid w:val="00383ADC"/>
    <w:rsid w:val="00383BAD"/>
    <w:rsid w:val="003857D9"/>
    <w:rsid w:val="00385B1C"/>
    <w:rsid w:val="003A0C39"/>
    <w:rsid w:val="003A349F"/>
    <w:rsid w:val="003A40EE"/>
    <w:rsid w:val="003B16B6"/>
    <w:rsid w:val="003B20E1"/>
    <w:rsid w:val="003B39C5"/>
    <w:rsid w:val="003C2447"/>
    <w:rsid w:val="003C3041"/>
    <w:rsid w:val="003D3C89"/>
    <w:rsid w:val="003D5374"/>
    <w:rsid w:val="003D54CD"/>
    <w:rsid w:val="003E11A0"/>
    <w:rsid w:val="003E4940"/>
    <w:rsid w:val="003E5CB3"/>
    <w:rsid w:val="003F005C"/>
    <w:rsid w:val="003F0AF9"/>
    <w:rsid w:val="003F11C4"/>
    <w:rsid w:val="003F5652"/>
    <w:rsid w:val="003F6B91"/>
    <w:rsid w:val="003F7F98"/>
    <w:rsid w:val="00400C26"/>
    <w:rsid w:val="00414FDB"/>
    <w:rsid w:val="004179DB"/>
    <w:rsid w:val="00420DD8"/>
    <w:rsid w:val="00422759"/>
    <w:rsid w:val="00423238"/>
    <w:rsid w:val="00423908"/>
    <w:rsid w:val="0043155D"/>
    <w:rsid w:val="00440465"/>
    <w:rsid w:val="004412A7"/>
    <w:rsid w:val="00447E1F"/>
    <w:rsid w:val="00457A72"/>
    <w:rsid w:val="004662F6"/>
    <w:rsid w:val="00472588"/>
    <w:rsid w:val="00475A78"/>
    <w:rsid w:val="004805B3"/>
    <w:rsid w:val="00481E1C"/>
    <w:rsid w:val="0048362B"/>
    <w:rsid w:val="00490C45"/>
    <w:rsid w:val="00491415"/>
    <w:rsid w:val="004A0797"/>
    <w:rsid w:val="004A6814"/>
    <w:rsid w:val="004B15F7"/>
    <w:rsid w:val="004D1816"/>
    <w:rsid w:val="004D2877"/>
    <w:rsid w:val="004D3FCD"/>
    <w:rsid w:val="004D552F"/>
    <w:rsid w:val="004E307F"/>
    <w:rsid w:val="004E3287"/>
    <w:rsid w:val="004E3A64"/>
    <w:rsid w:val="004F0359"/>
    <w:rsid w:val="004F32DF"/>
    <w:rsid w:val="004F4726"/>
    <w:rsid w:val="004F5E2F"/>
    <w:rsid w:val="004F7670"/>
    <w:rsid w:val="00502773"/>
    <w:rsid w:val="005028D8"/>
    <w:rsid w:val="00503FCF"/>
    <w:rsid w:val="0050429C"/>
    <w:rsid w:val="00504CAB"/>
    <w:rsid w:val="00507709"/>
    <w:rsid w:val="00510203"/>
    <w:rsid w:val="00514467"/>
    <w:rsid w:val="00516BC4"/>
    <w:rsid w:val="005213CF"/>
    <w:rsid w:val="00523851"/>
    <w:rsid w:val="00524C91"/>
    <w:rsid w:val="005262C7"/>
    <w:rsid w:val="00540799"/>
    <w:rsid w:val="00544692"/>
    <w:rsid w:val="00545133"/>
    <w:rsid w:val="00545799"/>
    <w:rsid w:val="005519DE"/>
    <w:rsid w:val="00553318"/>
    <w:rsid w:val="00556147"/>
    <w:rsid w:val="0055665D"/>
    <w:rsid w:val="00561D42"/>
    <w:rsid w:val="00562320"/>
    <w:rsid w:val="005623D2"/>
    <w:rsid w:val="0056527A"/>
    <w:rsid w:val="005677F2"/>
    <w:rsid w:val="005703EF"/>
    <w:rsid w:val="005705CE"/>
    <w:rsid w:val="0057104C"/>
    <w:rsid w:val="00575FC4"/>
    <w:rsid w:val="005764FD"/>
    <w:rsid w:val="0058752A"/>
    <w:rsid w:val="00597492"/>
    <w:rsid w:val="005B04DB"/>
    <w:rsid w:val="005B2846"/>
    <w:rsid w:val="005B5459"/>
    <w:rsid w:val="005C2188"/>
    <w:rsid w:val="005C72B7"/>
    <w:rsid w:val="005D24B2"/>
    <w:rsid w:val="005D404D"/>
    <w:rsid w:val="005D5630"/>
    <w:rsid w:val="005D5638"/>
    <w:rsid w:val="005D6B50"/>
    <w:rsid w:val="005D724B"/>
    <w:rsid w:val="005E45BE"/>
    <w:rsid w:val="005E5163"/>
    <w:rsid w:val="005F0AA7"/>
    <w:rsid w:val="005F29C3"/>
    <w:rsid w:val="005F52C0"/>
    <w:rsid w:val="005F559B"/>
    <w:rsid w:val="005F5A3D"/>
    <w:rsid w:val="005F7620"/>
    <w:rsid w:val="005F767A"/>
    <w:rsid w:val="00604C58"/>
    <w:rsid w:val="006068DD"/>
    <w:rsid w:val="00613F07"/>
    <w:rsid w:val="00614CF7"/>
    <w:rsid w:val="00624845"/>
    <w:rsid w:val="00627320"/>
    <w:rsid w:val="00631BEC"/>
    <w:rsid w:val="006339DB"/>
    <w:rsid w:val="00644C1D"/>
    <w:rsid w:val="00650773"/>
    <w:rsid w:val="006613AE"/>
    <w:rsid w:val="00665441"/>
    <w:rsid w:val="00667653"/>
    <w:rsid w:val="006826C7"/>
    <w:rsid w:val="00686CCD"/>
    <w:rsid w:val="0069149E"/>
    <w:rsid w:val="0069546E"/>
    <w:rsid w:val="00696C3B"/>
    <w:rsid w:val="006970C8"/>
    <w:rsid w:val="0069771E"/>
    <w:rsid w:val="006A20D0"/>
    <w:rsid w:val="006A4C43"/>
    <w:rsid w:val="006B1545"/>
    <w:rsid w:val="006B2F39"/>
    <w:rsid w:val="006B40D3"/>
    <w:rsid w:val="006B609F"/>
    <w:rsid w:val="006B77BF"/>
    <w:rsid w:val="006C2D20"/>
    <w:rsid w:val="006C35B6"/>
    <w:rsid w:val="006C688F"/>
    <w:rsid w:val="006C6FBA"/>
    <w:rsid w:val="006D0DDD"/>
    <w:rsid w:val="006D6109"/>
    <w:rsid w:val="006D7829"/>
    <w:rsid w:val="006E58E1"/>
    <w:rsid w:val="006F22A8"/>
    <w:rsid w:val="006F38C3"/>
    <w:rsid w:val="006F3D3D"/>
    <w:rsid w:val="006F5A89"/>
    <w:rsid w:val="006F60B2"/>
    <w:rsid w:val="006F751C"/>
    <w:rsid w:val="006F77CC"/>
    <w:rsid w:val="0070260D"/>
    <w:rsid w:val="007066A1"/>
    <w:rsid w:val="0071254F"/>
    <w:rsid w:val="007132F5"/>
    <w:rsid w:val="00713DAD"/>
    <w:rsid w:val="00715836"/>
    <w:rsid w:val="00716621"/>
    <w:rsid w:val="007205DC"/>
    <w:rsid w:val="00721DA1"/>
    <w:rsid w:val="00723FAA"/>
    <w:rsid w:val="007249C5"/>
    <w:rsid w:val="00724CE8"/>
    <w:rsid w:val="00732CF8"/>
    <w:rsid w:val="00733ADF"/>
    <w:rsid w:val="00733C6C"/>
    <w:rsid w:val="007344B0"/>
    <w:rsid w:val="007506E4"/>
    <w:rsid w:val="00756FFD"/>
    <w:rsid w:val="00757241"/>
    <w:rsid w:val="0076085A"/>
    <w:rsid w:val="00763AFD"/>
    <w:rsid w:val="00772616"/>
    <w:rsid w:val="0077314C"/>
    <w:rsid w:val="00781630"/>
    <w:rsid w:val="00784642"/>
    <w:rsid w:val="00784930"/>
    <w:rsid w:val="00785466"/>
    <w:rsid w:val="0078608A"/>
    <w:rsid w:val="00792A8C"/>
    <w:rsid w:val="007A11E2"/>
    <w:rsid w:val="007B1B5D"/>
    <w:rsid w:val="007B2544"/>
    <w:rsid w:val="007B496A"/>
    <w:rsid w:val="007C53B0"/>
    <w:rsid w:val="007C6CC7"/>
    <w:rsid w:val="007D3A11"/>
    <w:rsid w:val="007D4E21"/>
    <w:rsid w:val="007E33CD"/>
    <w:rsid w:val="007F54FE"/>
    <w:rsid w:val="007F72AF"/>
    <w:rsid w:val="00800563"/>
    <w:rsid w:val="008020FA"/>
    <w:rsid w:val="0080631E"/>
    <w:rsid w:val="0081081A"/>
    <w:rsid w:val="008118B6"/>
    <w:rsid w:val="00813814"/>
    <w:rsid w:val="0082057A"/>
    <w:rsid w:val="00820C78"/>
    <w:rsid w:val="00825F79"/>
    <w:rsid w:val="00831F13"/>
    <w:rsid w:val="00831F4E"/>
    <w:rsid w:val="00833C3C"/>
    <w:rsid w:val="0083499C"/>
    <w:rsid w:val="00835A33"/>
    <w:rsid w:val="008363F4"/>
    <w:rsid w:val="00842EB4"/>
    <w:rsid w:val="00844857"/>
    <w:rsid w:val="00846348"/>
    <w:rsid w:val="00857D6C"/>
    <w:rsid w:val="008764E2"/>
    <w:rsid w:val="00891317"/>
    <w:rsid w:val="00892117"/>
    <w:rsid w:val="008A1D55"/>
    <w:rsid w:val="008A28CC"/>
    <w:rsid w:val="008A600F"/>
    <w:rsid w:val="008A6F3E"/>
    <w:rsid w:val="008B2AB8"/>
    <w:rsid w:val="008B4C3E"/>
    <w:rsid w:val="008C01F1"/>
    <w:rsid w:val="008C030C"/>
    <w:rsid w:val="008C2095"/>
    <w:rsid w:val="008C7FE6"/>
    <w:rsid w:val="008D2F17"/>
    <w:rsid w:val="008D41DF"/>
    <w:rsid w:val="008D426A"/>
    <w:rsid w:val="00900B4E"/>
    <w:rsid w:val="009043CB"/>
    <w:rsid w:val="00910A09"/>
    <w:rsid w:val="00910BF3"/>
    <w:rsid w:val="009131AD"/>
    <w:rsid w:val="0092095D"/>
    <w:rsid w:val="00927888"/>
    <w:rsid w:val="00927A5E"/>
    <w:rsid w:val="009307BB"/>
    <w:rsid w:val="00937CAD"/>
    <w:rsid w:val="00944571"/>
    <w:rsid w:val="009514E7"/>
    <w:rsid w:val="00953AAE"/>
    <w:rsid w:val="00955F4F"/>
    <w:rsid w:val="00957061"/>
    <w:rsid w:val="0095722B"/>
    <w:rsid w:val="00964600"/>
    <w:rsid w:val="00977344"/>
    <w:rsid w:val="00977B20"/>
    <w:rsid w:val="00981E2D"/>
    <w:rsid w:val="00982350"/>
    <w:rsid w:val="009823FC"/>
    <w:rsid w:val="00984C05"/>
    <w:rsid w:val="0099013E"/>
    <w:rsid w:val="00994EB9"/>
    <w:rsid w:val="00997EC7"/>
    <w:rsid w:val="009A3A3D"/>
    <w:rsid w:val="009A645B"/>
    <w:rsid w:val="009B1C69"/>
    <w:rsid w:val="009B3E70"/>
    <w:rsid w:val="009B763A"/>
    <w:rsid w:val="009B7835"/>
    <w:rsid w:val="009C0C47"/>
    <w:rsid w:val="009C2C43"/>
    <w:rsid w:val="009C3EFE"/>
    <w:rsid w:val="009C6854"/>
    <w:rsid w:val="009C7413"/>
    <w:rsid w:val="009C7460"/>
    <w:rsid w:val="009D0A03"/>
    <w:rsid w:val="009D1CB4"/>
    <w:rsid w:val="009D45AD"/>
    <w:rsid w:val="009D62A2"/>
    <w:rsid w:val="009E6167"/>
    <w:rsid w:val="009E772F"/>
    <w:rsid w:val="00A16A9F"/>
    <w:rsid w:val="00A16ED6"/>
    <w:rsid w:val="00A30238"/>
    <w:rsid w:val="00A32357"/>
    <w:rsid w:val="00A33888"/>
    <w:rsid w:val="00A46D8F"/>
    <w:rsid w:val="00A53292"/>
    <w:rsid w:val="00A55C00"/>
    <w:rsid w:val="00A57F40"/>
    <w:rsid w:val="00A65717"/>
    <w:rsid w:val="00A67374"/>
    <w:rsid w:val="00A7132C"/>
    <w:rsid w:val="00A7258E"/>
    <w:rsid w:val="00A804F9"/>
    <w:rsid w:val="00A81F8F"/>
    <w:rsid w:val="00A904EA"/>
    <w:rsid w:val="00A9135A"/>
    <w:rsid w:val="00A928B4"/>
    <w:rsid w:val="00A932C1"/>
    <w:rsid w:val="00A94316"/>
    <w:rsid w:val="00A95519"/>
    <w:rsid w:val="00AA5D80"/>
    <w:rsid w:val="00AA6205"/>
    <w:rsid w:val="00AA7446"/>
    <w:rsid w:val="00AB1BB9"/>
    <w:rsid w:val="00AC0125"/>
    <w:rsid w:val="00AC3C46"/>
    <w:rsid w:val="00AC4468"/>
    <w:rsid w:val="00AC6585"/>
    <w:rsid w:val="00AC6D87"/>
    <w:rsid w:val="00AD0997"/>
    <w:rsid w:val="00AD53CB"/>
    <w:rsid w:val="00AD5925"/>
    <w:rsid w:val="00AD7DE5"/>
    <w:rsid w:val="00AF35FA"/>
    <w:rsid w:val="00AF4302"/>
    <w:rsid w:val="00AF4588"/>
    <w:rsid w:val="00AF52E6"/>
    <w:rsid w:val="00AF5982"/>
    <w:rsid w:val="00AF688B"/>
    <w:rsid w:val="00B0236C"/>
    <w:rsid w:val="00B037AF"/>
    <w:rsid w:val="00B06C8A"/>
    <w:rsid w:val="00B162F1"/>
    <w:rsid w:val="00B16801"/>
    <w:rsid w:val="00B171B0"/>
    <w:rsid w:val="00B220EE"/>
    <w:rsid w:val="00B223A7"/>
    <w:rsid w:val="00B23873"/>
    <w:rsid w:val="00B243F4"/>
    <w:rsid w:val="00B25ABB"/>
    <w:rsid w:val="00B33827"/>
    <w:rsid w:val="00B3424C"/>
    <w:rsid w:val="00B4192E"/>
    <w:rsid w:val="00B44019"/>
    <w:rsid w:val="00B45289"/>
    <w:rsid w:val="00B5235A"/>
    <w:rsid w:val="00B54238"/>
    <w:rsid w:val="00B558E4"/>
    <w:rsid w:val="00B56AE6"/>
    <w:rsid w:val="00B57139"/>
    <w:rsid w:val="00B60143"/>
    <w:rsid w:val="00B717DE"/>
    <w:rsid w:val="00B722D4"/>
    <w:rsid w:val="00B8024E"/>
    <w:rsid w:val="00B8317C"/>
    <w:rsid w:val="00B83AEF"/>
    <w:rsid w:val="00B8752E"/>
    <w:rsid w:val="00B87A8C"/>
    <w:rsid w:val="00B9047C"/>
    <w:rsid w:val="00B916CE"/>
    <w:rsid w:val="00B94A07"/>
    <w:rsid w:val="00B9720D"/>
    <w:rsid w:val="00BA1D8B"/>
    <w:rsid w:val="00BA67CA"/>
    <w:rsid w:val="00BB2E1D"/>
    <w:rsid w:val="00BB319B"/>
    <w:rsid w:val="00BB4EA0"/>
    <w:rsid w:val="00BB568A"/>
    <w:rsid w:val="00BC012C"/>
    <w:rsid w:val="00BC1652"/>
    <w:rsid w:val="00BD2F72"/>
    <w:rsid w:val="00BE411E"/>
    <w:rsid w:val="00BF2E04"/>
    <w:rsid w:val="00BF6341"/>
    <w:rsid w:val="00C03571"/>
    <w:rsid w:val="00C14599"/>
    <w:rsid w:val="00C1595A"/>
    <w:rsid w:val="00C17404"/>
    <w:rsid w:val="00C17474"/>
    <w:rsid w:val="00C20BD2"/>
    <w:rsid w:val="00C2239B"/>
    <w:rsid w:val="00C230BE"/>
    <w:rsid w:val="00C2451D"/>
    <w:rsid w:val="00C24646"/>
    <w:rsid w:val="00C24C7F"/>
    <w:rsid w:val="00C31785"/>
    <w:rsid w:val="00C3400E"/>
    <w:rsid w:val="00C440AF"/>
    <w:rsid w:val="00C51880"/>
    <w:rsid w:val="00C5198C"/>
    <w:rsid w:val="00C55200"/>
    <w:rsid w:val="00C578E3"/>
    <w:rsid w:val="00C617DB"/>
    <w:rsid w:val="00C62ECD"/>
    <w:rsid w:val="00C70571"/>
    <w:rsid w:val="00C72131"/>
    <w:rsid w:val="00C7235D"/>
    <w:rsid w:val="00C7759B"/>
    <w:rsid w:val="00C830CB"/>
    <w:rsid w:val="00C83D85"/>
    <w:rsid w:val="00C91BAA"/>
    <w:rsid w:val="00C95B27"/>
    <w:rsid w:val="00C96207"/>
    <w:rsid w:val="00CA0F6F"/>
    <w:rsid w:val="00CA1402"/>
    <w:rsid w:val="00CA15D7"/>
    <w:rsid w:val="00CA78F2"/>
    <w:rsid w:val="00CC49DA"/>
    <w:rsid w:val="00CC7A21"/>
    <w:rsid w:val="00CD0B91"/>
    <w:rsid w:val="00CD2913"/>
    <w:rsid w:val="00CD3611"/>
    <w:rsid w:val="00CD5A06"/>
    <w:rsid w:val="00CD6E2D"/>
    <w:rsid w:val="00CD72CF"/>
    <w:rsid w:val="00CE45EC"/>
    <w:rsid w:val="00CF2711"/>
    <w:rsid w:val="00CF7D08"/>
    <w:rsid w:val="00D03503"/>
    <w:rsid w:val="00D03793"/>
    <w:rsid w:val="00D057D7"/>
    <w:rsid w:val="00D06898"/>
    <w:rsid w:val="00D06955"/>
    <w:rsid w:val="00D07A19"/>
    <w:rsid w:val="00D07F23"/>
    <w:rsid w:val="00D10681"/>
    <w:rsid w:val="00D10E00"/>
    <w:rsid w:val="00D23013"/>
    <w:rsid w:val="00D26E84"/>
    <w:rsid w:val="00D308BE"/>
    <w:rsid w:val="00D34A3E"/>
    <w:rsid w:val="00D35A09"/>
    <w:rsid w:val="00D35E70"/>
    <w:rsid w:val="00D36491"/>
    <w:rsid w:val="00D37991"/>
    <w:rsid w:val="00D40529"/>
    <w:rsid w:val="00D4113A"/>
    <w:rsid w:val="00D504A5"/>
    <w:rsid w:val="00D523F4"/>
    <w:rsid w:val="00D55E77"/>
    <w:rsid w:val="00D57005"/>
    <w:rsid w:val="00D60C3E"/>
    <w:rsid w:val="00D6470E"/>
    <w:rsid w:val="00D70508"/>
    <w:rsid w:val="00D74DDF"/>
    <w:rsid w:val="00D7772C"/>
    <w:rsid w:val="00D844F2"/>
    <w:rsid w:val="00D84FD2"/>
    <w:rsid w:val="00D90075"/>
    <w:rsid w:val="00D9194E"/>
    <w:rsid w:val="00D94F3B"/>
    <w:rsid w:val="00D96221"/>
    <w:rsid w:val="00D96B14"/>
    <w:rsid w:val="00D96F3A"/>
    <w:rsid w:val="00DA34EA"/>
    <w:rsid w:val="00DA4360"/>
    <w:rsid w:val="00DB29ED"/>
    <w:rsid w:val="00DC2704"/>
    <w:rsid w:val="00DC4306"/>
    <w:rsid w:val="00DC4B98"/>
    <w:rsid w:val="00DC5031"/>
    <w:rsid w:val="00DC5A9D"/>
    <w:rsid w:val="00DC7362"/>
    <w:rsid w:val="00DD22B6"/>
    <w:rsid w:val="00DE220C"/>
    <w:rsid w:val="00DE57B3"/>
    <w:rsid w:val="00DF2C1D"/>
    <w:rsid w:val="00E05593"/>
    <w:rsid w:val="00E05ADE"/>
    <w:rsid w:val="00E0744F"/>
    <w:rsid w:val="00E123EE"/>
    <w:rsid w:val="00E124BE"/>
    <w:rsid w:val="00E12D5E"/>
    <w:rsid w:val="00E12F7D"/>
    <w:rsid w:val="00E32DEF"/>
    <w:rsid w:val="00E3421C"/>
    <w:rsid w:val="00E42450"/>
    <w:rsid w:val="00E511B5"/>
    <w:rsid w:val="00E52BA9"/>
    <w:rsid w:val="00E53D55"/>
    <w:rsid w:val="00E57123"/>
    <w:rsid w:val="00E57AC7"/>
    <w:rsid w:val="00E60299"/>
    <w:rsid w:val="00E61D67"/>
    <w:rsid w:val="00E62E3B"/>
    <w:rsid w:val="00E63CE6"/>
    <w:rsid w:val="00E65C00"/>
    <w:rsid w:val="00E66771"/>
    <w:rsid w:val="00E678F5"/>
    <w:rsid w:val="00E866A1"/>
    <w:rsid w:val="00E9084E"/>
    <w:rsid w:val="00E911FF"/>
    <w:rsid w:val="00E916B3"/>
    <w:rsid w:val="00EA2280"/>
    <w:rsid w:val="00EB3603"/>
    <w:rsid w:val="00EC10EC"/>
    <w:rsid w:val="00EC2E18"/>
    <w:rsid w:val="00EC38E0"/>
    <w:rsid w:val="00EC6353"/>
    <w:rsid w:val="00ED0715"/>
    <w:rsid w:val="00ED34FC"/>
    <w:rsid w:val="00ED3ED6"/>
    <w:rsid w:val="00EE3D9F"/>
    <w:rsid w:val="00EF0B14"/>
    <w:rsid w:val="00EF3B62"/>
    <w:rsid w:val="00F03419"/>
    <w:rsid w:val="00F064D6"/>
    <w:rsid w:val="00F06AEA"/>
    <w:rsid w:val="00F06C0B"/>
    <w:rsid w:val="00F06E3F"/>
    <w:rsid w:val="00F10858"/>
    <w:rsid w:val="00F17991"/>
    <w:rsid w:val="00F21BD6"/>
    <w:rsid w:val="00F22927"/>
    <w:rsid w:val="00F2400A"/>
    <w:rsid w:val="00F32397"/>
    <w:rsid w:val="00F326AC"/>
    <w:rsid w:val="00F3428D"/>
    <w:rsid w:val="00F41EAC"/>
    <w:rsid w:val="00F42CDA"/>
    <w:rsid w:val="00F53CAC"/>
    <w:rsid w:val="00F611AF"/>
    <w:rsid w:val="00F64E91"/>
    <w:rsid w:val="00F64F0E"/>
    <w:rsid w:val="00F6561D"/>
    <w:rsid w:val="00F67065"/>
    <w:rsid w:val="00F67610"/>
    <w:rsid w:val="00F67730"/>
    <w:rsid w:val="00F705B7"/>
    <w:rsid w:val="00F70BA5"/>
    <w:rsid w:val="00F7150C"/>
    <w:rsid w:val="00F730A8"/>
    <w:rsid w:val="00F774E8"/>
    <w:rsid w:val="00F92634"/>
    <w:rsid w:val="00F929FA"/>
    <w:rsid w:val="00F948F4"/>
    <w:rsid w:val="00F96C47"/>
    <w:rsid w:val="00FA7276"/>
    <w:rsid w:val="00FA7B50"/>
    <w:rsid w:val="00FB1A88"/>
    <w:rsid w:val="00FB2956"/>
    <w:rsid w:val="00FB4188"/>
    <w:rsid w:val="00FC152B"/>
    <w:rsid w:val="00FC1DC3"/>
    <w:rsid w:val="00FD3B89"/>
    <w:rsid w:val="00FD610B"/>
    <w:rsid w:val="00FE09F4"/>
    <w:rsid w:val="00FE7EB8"/>
    <w:rsid w:val="00FF1B2E"/>
    <w:rsid w:val="00FF3EA0"/>
    <w:rsid w:val="00FF4EF6"/>
    <w:rsid w:val="26A874D0"/>
  </w:rsids>
  <m:mathPr>
    <m:mathFont m:val="Cambria Math"/>
    <m:brkBin m:val="before"/>
    <m:brkBinSub m:val="--"/>
    <m:smallFrac/>
    <m:dispDef/>
    <m:lMargin m:val="0"/>
    <m:rMargin m:val="0"/>
    <m:defJc m:val="centerGroup"/>
    <m:wrapRight/>
    <m:intLim m:val="subSup"/>
    <m:naryLim m:val="subSup"/>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F729D0"/>
  <w15:docId w15:val="{5AAD12E2-7DA5-4FC1-B71A-DEBCD2CF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50"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419"/>
    <w:pPr>
      <w:spacing w:before="40" w:after="80"/>
      <w:ind w:left="-567"/>
      <w:jc w:val="both"/>
    </w:pPr>
    <w:rPr>
      <w:rFonts w:asciiTheme="minorHAnsi" w:hAnsiTheme="minorHAnsi"/>
      <w:sz w:val="22"/>
      <w:szCs w:val="24"/>
      <w:lang w:eastAsia="ja-JP"/>
    </w:rPr>
  </w:style>
  <w:style w:type="paragraph" w:styleId="Heading1">
    <w:name w:val="heading 1"/>
    <w:aliases w:val="GTR Titre"/>
    <w:basedOn w:val="Normal"/>
    <w:next w:val="Normal"/>
    <w:link w:val="Heading1Char"/>
    <w:uiPriority w:val="9"/>
    <w:qFormat/>
    <w:rsid w:val="00846348"/>
    <w:pPr>
      <w:jc w:val="left"/>
      <w:outlineLvl w:val="0"/>
    </w:pPr>
    <w:rPr>
      <w:rFonts w:ascii="Calibri" w:hAnsi="Calibri"/>
      <w:b/>
      <w:color w:val="0090D4"/>
      <w:sz w:val="48"/>
      <w:szCs w:val="48"/>
      <w:lang w:val="en-GB"/>
    </w:rPr>
  </w:style>
  <w:style w:type="paragraph" w:styleId="Heading2">
    <w:name w:val="heading 2"/>
    <w:aliases w:val="GTR 2"/>
    <w:basedOn w:val="Normal"/>
    <w:next w:val="Normal"/>
    <w:link w:val="Heading2Char"/>
    <w:uiPriority w:val="9"/>
    <w:qFormat/>
    <w:rsid w:val="00723FAA"/>
    <w:pPr>
      <w:numPr>
        <w:numId w:val="1"/>
      </w:numPr>
      <w:pBdr>
        <w:bottom w:val="single" w:sz="18" w:space="1" w:color="2E74B5" w:themeColor="accent1" w:themeShade="BF"/>
      </w:pBdr>
      <w:shd w:val="clear" w:color="auto" w:fill="DEEAF6" w:themeFill="accent1" w:themeFillTint="33"/>
      <w:spacing w:before="420"/>
      <w:outlineLvl w:val="1"/>
    </w:pPr>
    <w:rPr>
      <w:rFonts w:ascii="Calibri" w:hAnsi="Calibri"/>
      <w:b/>
      <w:color w:val="1B99D6"/>
      <w:sz w:val="32"/>
    </w:rPr>
  </w:style>
  <w:style w:type="paragraph" w:styleId="Heading3">
    <w:name w:val="heading 3"/>
    <w:aliases w:val="GTR 3"/>
    <w:basedOn w:val="MediumGrid1-Accent21"/>
    <w:next w:val="Normal"/>
    <w:link w:val="Heading3Char"/>
    <w:uiPriority w:val="9"/>
    <w:qFormat/>
    <w:rsid w:val="00B4192E"/>
    <w:pPr>
      <w:numPr>
        <w:ilvl w:val="1"/>
        <w:numId w:val="1"/>
      </w:numPr>
      <w:spacing w:before="200" w:after="120" w:line="360" w:lineRule="atLeast"/>
      <w:outlineLvl w:val="2"/>
    </w:pPr>
    <w:rPr>
      <w:rFonts w:asciiTheme="majorHAnsi" w:hAnsiTheme="majorHAnsi"/>
      <w:b/>
      <w:color w:val="1B99D6"/>
      <w:sz w:val="28"/>
    </w:rPr>
  </w:style>
  <w:style w:type="paragraph" w:styleId="Heading4">
    <w:name w:val="heading 4"/>
    <w:basedOn w:val="Normal"/>
    <w:next w:val="Normal"/>
    <w:link w:val="Heading4Char"/>
    <w:uiPriority w:val="9"/>
    <w:unhideWhenUsed/>
    <w:qFormat/>
    <w:rsid w:val="00723FAA"/>
    <w:pPr>
      <w:keepNext/>
      <w:keepLines/>
      <w:numPr>
        <w:ilvl w:val="2"/>
        <w:numId w:val="1"/>
      </w:numPr>
      <w:spacing w:before="240" w:after="60"/>
      <w:outlineLvl w:val="3"/>
    </w:pPr>
    <w:rPr>
      <w:rFonts w:asciiTheme="majorHAnsi" w:eastAsiaTheme="majorEastAsia" w:hAnsiTheme="majorHAnsi" w:cstheme="majorBidi"/>
      <w:iCs/>
      <w:color w:val="2E74B5" w:themeColor="accent1" w:themeShade="BF"/>
      <w:sz w:val="26"/>
    </w:rPr>
  </w:style>
  <w:style w:type="paragraph" w:styleId="Heading5">
    <w:name w:val="heading 5"/>
    <w:basedOn w:val="Normal"/>
    <w:next w:val="Normal"/>
    <w:link w:val="Heading5Char"/>
    <w:uiPriority w:val="9"/>
    <w:unhideWhenUsed/>
    <w:qFormat/>
    <w:rsid w:val="00545799"/>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5799"/>
    <w:pPr>
      <w:keepNext/>
      <w:keepLines/>
      <w:spacing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227"/>
    <w:rPr>
      <w:rFonts w:ascii="Lucida Grande" w:hAnsi="Lucida Grande" w:cs="Lucida Grande"/>
      <w:sz w:val="18"/>
      <w:szCs w:val="18"/>
    </w:rPr>
  </w:style>
  <w:style w:type="character" w:customStyle="1" w:styleId="BalloonTextChar">
    <w:name w:val="Balloon Text Char"/>
    <w:link w:val="BalloonText"/>
    <w:uiPriority w:val="99"/>
    <w:semiHidden/>
    <w:rsid w:val="00134227"/>
    <w:rPr>
      <w:rFonts w:ascii="Lucida Grande" w:hAnsi="Lucida Grande" w:cs="Lucida Grande"/>
      <w:sz w:val="18"/>
      <w:szCs w:val="18"/>
    </w:rPr>
  </w:style>
  <w:style w:type="paragraph" w:customStyle="1" w:styleId="MediumGrid1-Accent21">
    <w:name w:val="Medium Grid 1 - Accent 21"/>
    <w:basedOn w:val="Normal"/>
    <w:uiPriority w:val="34"/>
    <w:qFormat/>
    <w:rsid w:val="00C24646"/>
    <w:pPr>
      <w:spacing w:after="40"/>
      <w:ind w:left="720"/>
    </w:pPr>
  </w:style>
  <w:style w:type="character" w:styleId="Hyperlink">
    <w:name w:val="Hyperlink"/>
    <w:uiPriority w:val="99"/>
    <w:unhideWhenUsed/>
    <w:rsid w:val="0056527A"/>
    <w:rPr>
      <w:color w:val="0000FF"/>
      <w:u w:val="single"/>
    </w:rPr>
  </w:style>
  <w:style w:type="paragraph" w:styleId="Header">
    <w:name w:val="header"/>
    <w:basedOn w:val="Normal"/>
    <w:link w:val="HeaderChar"/>
    <w:uiPriority w:val="99"/>
    <w:unhideWhenUsed/>
    <w:rsid w:val="00E9084E"/>
    <w:pPr>
      <w:tabs>
        <w:tab w:val="center" w:pos="4536"/>
        <w:tab w:val="right" w:pos="9072"/>
      </w:tabs>
    </w:pPr>
  </w:style>
  <w:style w:type="character" w:customStyle="1" w:styleId="HeaderChar">
    <w:name w:val="Header Char"/>
    <w:link w:val="Header"/>
    <w:uiPriority w:val="99"/>
    <w:rsid w:val="00E9084E"/>
    <w:rPr>
      <w:rFonts w:ascii="Times New Roman" w:hAnsi="Times New Roman"/>
    </w:rPr>
  </w:style>
  <w:style w:type="paragraph" w:styleId="Footer">
    <w:name w:val="footer"/>
    <w:basedOn w:val="Normal"/>
    <w:link w:val="FooterChar"/>
    <w:uiPriority w:val="99"/>
    <w:unhideWhenUsed/>
    <w:rsid w:val="00E9084E"/>
    <w:pPr>
      <w:tabs>
        <w:tab w:val="center" w:pos="4536"/>
        <w:tab w:val="right" w:pos="9072"/>
      </w:tabs>
    </w:pPr>
  </w:style>
  <w:style w:type="character" w:customStyle="1" w:styleId="FooterChar">
    <w:name w:val="Footer Char"/>
    <w:link w:val="Footer"/>
    <w:uiPriority w:val="99"/>
    <w:rsid w:val="00E9084E"/>
    <w:rPr>
      <w:rFonts w:ascii="Times New Roman" w:hAnsi="Times New Roman"/>
    </w:rPr>
  </w:style>
  <w:style w:type="table" w:styleId="TableGrid">
    <w:name w:val="Table Grid"/>
    <w:basedOn w:val="TableNormal"/>
    <w:uiPriority w:val="39"/>
    <w:rsid w:val="00E90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GTR 2 Char"/>
    <w:link w:val="Heading2"/>
    <w:uiPriority w:val="9"/>
    <w:rsid w:val="00723FAA"/>
    <w:rPr>
      <w:rFonts w:ascii="Calibri" w:hAnsi="Calibri"/>
      <w:b/>
      <w:color w:val="1B99D6"/>
      <w:sz w:val="32"/>
      <w:szCs w:val="24"/>
      <w:shd w:val="clear" w:color="auto" w:fill="DEEAF6" w:themeFill="accent1" w:themeFillTint="33"/>
      <w:lang w:eastAsia="ja-JP"/>
    </w:rPr>
  </w:style>
  <w:style w:type="character" w:customStyle="1" w:styleId="Heading3Char">
    <w:name w:val="Heading 3 Char"/>
    <w:aliases w:val="GTR 3 Char"/>
    <w:link w:val="Heading3"/>
    <w:uiPriority w:val="9"/>
    <w:rsid w:val="00B4192E"/>
    <w:rPr>
      <w:rFonts w:asciiTheme="majorHAnsi" w:hAnsiTheme="majorHAnsi"/>
      <w:b/>
      <w:color w:val="1B99D6"/>
      <w:sz w:val="28"/>
      <w:szCs w:val="24"/>
      <w:lang w:eastAsia="ja-JP"/>
    </w:rPr>
  </w:style>
  <w:style w:type="character" w:customStyle="1" w:styleId="Heading1Char">
    <w:name w:val="Heading 1 Char"/>
    <w:aliases w:val="GTR Titre Char"/>
    <w:link w:val="Heading1"/>
    <w:uiPriority w:val="9"/>
    <w:rsid w:val="00846348"/>
    <w:rPr>
      <w:rFonts w:ascii="Calibri" w:hAnsi="Calibri"/>
      <w:b/>
      <w:color w:val="0090D4"/>
      <w:sz w:val="48"/>
      <w:szCs w:val="48"/>
      <w:lang w:val="en-GB" w:eastAsia="ja-JP"/>
    </w:rPr>
  </w:style>
  <w:style w:type="paragraph" w:customStyle="1" w:styleId="PiedPage">
    <w:name w:val="PiedPage"/>
    <w:basedOn w:val="Normal"/>
    <w:link w:val="PiedPageCar"/>
    <w:qFormat/>
    <w:rsid w:val="00DC5A9D"/>
    <w:pPr>
      <w:jc w:val="center"/>
    </w:pPr>
    <w:rPr>
      <w:sz w:val="16"/>
      <w:szCs w:val="16"/>
    </w:rPr>
  </w:style>
  <w:style w:type="character" w:customStyle="1" w:styleId="PiedPageCar">
    <w:name w:val="PiedPage Car"/>
    <w:link w:val="PiedPage"/>
    <w:rsid w:val="00DC5A9D"/>
    <w:rPr>
      <w:rFonts w:ascii="National Regular" w:hAnsi="National Regular" w:cs="Times New Roman"/>
      <w:sz w:val="16"/>
      <w:szCs w:val="16"/>
      <w:lang w:val="fr-CH"/>
    </w:rPr>
  </w:style>
  <w:style w:type="paragraph" w:styleId="FootnoteText">
    <w:name w:val="footnote text"/>
    <w:basedOn w:val="Normal"/>
    <w:link w:val="FootnoteTextChar"/>
    <w:uiPriority w:val="99"/>
    <w:semiHidden/>
    <w:unhideWhenUsed/>
    <w:rsid w:val="00043AF2"/>
    <w:pPr>
      <w:spacing w:before="0" w:after="0"/>
    </w:pPr>
    <w:rPr>
      <w:sz w:val="20"/>
      <w:szCs w:val="20"/>
    </w:rPr>
  </w:style>
  <w:style w:type="character" w:customStyle="1" w:styleId="FootnoteTextChar">
    <w:name w:val="Footnote Text Char"/>
    <w:link w:val="FootnoteText"/>
    <w:uiPriority w:val="99"/>
    <w:semiHidden/>
    <w:rsid w:val="00043AF2"/>
    <w:rPr>
      <w:rFonts w:ascii="National Regular" w:hAnsi="National Regular" w:cs="Times New Roman"/>
      <w:sz w:val="20"/>
      <w:szCs w:val="20"/>
      <w:lang w:val="fr-CH"/>
    </w:rPr>
  </w:style>
  <w:style w:type="character" w:styleId="FootnoteReference">
    <w:name w:val="footnote reference"/>
    <w:uiPriority w:val="99"/>
    <w:semiHidden/>
    <w:unhideWhenUsed/>
    <w:rsid w:val="00043AF2"/>
    <w:rPr>
      <w:vertAlign w:val="superscript"/>
    </w:rPr>
  </w:style>
  <w:style w:type="character" w:customStyle="1" w:styleId="xbe">
    <w:name w:val="_xbe"/>
    <w:basedOn w:val="DefaultParagraphFont"/>
    <w:rsid w:val="00545133"/>
  </w:style>
  <w:style w:type="character" w:styleId="CommentReference">
    <w:name w:val="annotation reference"/>
    <w:uiPriority w:val="99"/>
    <w:semiHidden/>
    <w:unhideWhenUsed/>
    <w:rsid w:val="00491415"/>
    <w:rPr>
      <w:sz w:val="16"/>
      <w:szCs w:val="16"/>
    </w:rPr>
  </w:style>
  <w:style w:type="paragraph" w:styleId="CommentText">
    <w:name w:val="annotation text"/>
    <w:basedOn w:val="Normal"/>
    <w:link w:val="CommentTextChar"/>
    <w:uiPriority w:val="99"/>
    <w:unhideWhenUsed/>
    <w:rsid w:val="00491415"/>
    <w:rPr>
      <w:sz w:val="20"/>
      <w:szCs w:val="20"/>
    </w:rPr>
  </w:style>
  <w:style w:type="character" w:customStyle="1" w:styleId="CommentTextChar">
    <w:name w:val="Comment Text Char"/>
    <w:link w:val="CommentText"/>
    <w:uiPriority w:val="99"/>
    <w:rsid w:val="00491415"/>
    <w:rPr>
      <w:rFonts w:ascii="National Regular" w:hAnsi="National Regular" w:cs="Times New Roman"/>
      <w:sz w:val="20"/>
      <w:szCs w:val="20"/>
      <w:lang w:val="fr-CH"/>
    </w:rPr>
  </w:style>
  <w:style w:type="paragraph" w:styleId="CommentSubject">
    <w:name w:val="annotation subject"/>
    <w:basedOn w:val="CommentText"/>
    <w:next w:val="CommentText"/>
    <w:link w:val="CommentSubjectChar"/>
    <w:uiPriority w:val="99"/>
    <w:semiHidden/>
    <w:unhideWhenUsed/>
    <w:rsid w:val="00491415"/>
    <w:rPr>
      <w:b/>
      <w:bCs/>
    </w:rPr>
  </w:style>
  <w:style w:type="character" w:customStyle="1" w:styleId="CommentSubjectChar">
    <w:name w:val="Comment Subject Char"/>
    <w:link w:val="CommentSubject"/>
    <w:uiPriority w:val="99"/>
    <w:semiHidden/>
    <w:rsid w:val="00491415"/>
    <w:rPr>
      <w:rFonts w:ascii="National Regular" w:hAnsi="National Regular" w:cs="Times New Roman"/>
      <w:b/>
      <w:bCs/>
      <w:sz w:val="20"/>
      <w:szCs w:val="20"/>
      <w:lang w:val="fr-CH"/>
    </w:rPr>
  </w:style>
  <w:style w:type="character" w:customStyle="1" w:styleId="Heading4Char">
    <w:name w:val="Heading 4 Char"/>
    <w:basedOn w:val="DefaultParagraphFont"/>
    <w:link w:val="Heading4"/>
    <w:uiPriority w:val="9"/>
    <w:rsid w:val="00723FAA"/>
    <w:rPr>
      <w:rFonts w:asciiTheme="majorHAnsi" w:eastAsiaTheme="majorEastAsia" w:hAnsiTheme="majorHAnsi" w:cstheme="majorBidi"/>
      <w:iCs/>
      <w:color w:val="2E74B5" w:themeColor="accent1" w:themeShade="BF"/>
      <w:sz w:val="26"/>
      <w:szCs w:val="24"/>
      <w:lang w:eastAsia="ja-JP"/>
    </w:rPr>
  </w:style>
  <w:style w:type="character" w:customStyle="1" w:styleId="Heading5Char">
    <w:name w:val="Heading 5 Char"/>
    <w:basedOn w:val="DefaultParagraphFont"/>
    <w:link w:val="Heading5"/>
    <w:uiPriority w:val="9"/>
    <w:rsid w:val="00545799"/>
    <w:rPr>
      <w:rFonts w:asciiTheme="majorHAnsi" w:eastAsiaTheme="majorEastAsia" w:hAnsiTheme="majorHAnsi" w:cstheme="majorBidi"/>
      <w:color w:val="2E74B5" w:themeColor="accent1" w:themeShade="BF"/>
      <w:sz w:val="22"/>
      <w:szCs w:val="24"/>
      <w:lang w:eastAsia="ja-JP"/>
    </w:rPr>
  </w:style>
  <w:style w:type="character" w:customStyle="1" w:styleId="Heading6Char">
    <w:name w:val="Heading 6 Char"/>
    <w:basedOn w:val="DefaultParagraphFont"/>
    <w:link w:val="Heading6"/>
    <w:uiPriority w:val="9"/>
    <w:rsid w:val="00545799"/>
    <w:rPr>
      <w:rFonts w:asciiTheme="majorHAnsi" w:eastAsiaTheme="majorEastAsia" w:hAnsiTheme="majorHAnsi" w:cstheme="majorBidi"/>
      <w:color w:val="1F4D78" w:themeColor="accent1" w:themeShade="7F"/>
      <w:sz w:val="22"/>
      <w:szCs w:val="24"/>
      <w:lang w:eastAsia="ja-JP"/>
    </w:rPr>
  </w:style>
  <w:style w:type="paragraph" w:styleId="ListParagraph">
    <w:name w:val="List Paragraph"/>
    <w:basedOn w:val="Normal"/>
    <w:uiPriority w:val="34"/>
    <w:qFormat/>
    <w:rsid w:val="004D1816"/>
    <w:pPr>
      <w:ind w:left="720"/>
      <w:contextualSpacing/>
    </w:pPr>
  </w:style>
  <w:style w:type="paragraph" w:styleId="NormalWeb">
    <w:name w:val="Normal (Web)"/>
    <w:basedOn w:val="Normal"/>
    <w:uiPriority w:val="99"/>
    <w:semiHidden/>
    <w:unhideWhenUsed/>
    <w:rsid w:val="007C53B0"/>
    <w:pPr>
      <w:spacing w:before="100" w:beforeAutospacing="1" w:after="100" w:afterAutospacing="1"/>
      <w:ind w:left="0"/>
      <w:jc w:val="left"/>
    </w:pPr>
    <w:rPr>
      <w:rFonts w:ascii="Times New Roman" w:eastAsiaTheme="minorEastAsia" w:hAnsi="Times New Roman"/>
      <w:sz w:val="24"/>
      <w:lang w:eastAsia="fr-CH"/>
    </w:rPr>
  </w:style>
  <w:style w:type="paragraph" w:styleId="Title">
    <w:name w:val="Title"/>
    <w:basedOn w:val="Normal"/>
    <w:next w:val="Normal"/>
    <w:link w:val="TitleChar"/>
    <w:uiPriority w:val="10"/>
    <w:qFormat/>
    <w:rsid w:val="00DC4B98"/>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B98"/>
    <w:rPr>
      <w:rFonts w:asciiTheme="majorHAnsi" w:eastAsiaTheme="majorEastAsia" w:hAnsiTheme="majorHAnsi" w:cstheme="majorBidi"/>
      <w:spacing w:val="-10"/>
      <w:kern w:val="28"/>
      <w:sz w:val="56"/>
      <w:szCs w:val="56"/>
      <w:lang w:eastAsia="ja-JP"/>
    </w:rPr>
  </w:style>
  <w:style w:type="table" w:styleId="MediumList2-Accent1">
    <w:name w:val="Medium List 2 Accent 1"/>
    <w:basedOn w:val="TableNormal"/>
    <w:uiPriority w:val="66"/>
    <w:rsid w:val="00245ECB"/>
    <w:rPr>
      <w:rFonts w:asciiTheme="majorHAnsi" w:eastAsiaTheme="majorEastAsia" w:hAnsiTheme="majorHAnsi" w:cstheme="majorBidi"/>
      <w:color w:val="000000" w:themeColor="text1"/>
      <w:sz w:val="22"/>
      <w:szCs w:val="22"/>
      <w:lang w:val="fr-SN" w:eastAsia="fr-S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5Dark-Accent11">
    <w:name w:val="Grid Table 5 Dark - Accent 11"/>
    <w:basedOn w:val="TableNormal"/>
    <w:next w:val="GridTable5Dark-Accent1"/>
    <w:uiPriority w:val="50"/>
    <w:rsid w:val="007B2544"/>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qFormat/>
    <w:rsid w:val="007B25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12">
    <w:name w:val="Grid Table 5 Dark - Accent 12"/>
    <w:basedOn w:val="TableNormal"/>
    <w:next w:val="GridTable5Dark-Accent1"/>
    <w:uiPriority w:val="50"/>
    <w:rsid w:val="007B2544"/>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3">
    <w:name w:val="Grid Table 5 Dark - Accent 13"/>
    <w:basedOn w:val="TableNormal"/>
    <w:next w:val="GridTable5Dark-Accent1"/>
    <w:uiPriority w:val="50"/>
    <w:rsid w:val="007B2544"/>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4">
    <w:name w:val="Grid Table 5 Dark - Accent 14"/>
    <w:basedOn w:val="TableNormal"/>
    <w:next w:val="GridTable5Dark-Accent1"/>
    <w:uiPriority w:val="50"/>
    <w:rsid w:val="007B2544"/>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5">
    <w:name w:val="Grid Table 5 Dark - Accent 15"/>
    <w:basedOn w:val="TableNormal"/>
    <w:next w:val="GridTable5Dark-Accent1"/>
    <w:uiPriority w:val="50"/>
    <w:rsid w:val="007066A1"/>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6">
    <w:name w:val="Grid Table 5 Dark - Accent 16"/>
    <w:basedOn w:val="TableNormal"/>
    <w:next w:val="GridTable5Dark-Accent1"/>
    <w:uiPriority w:val="50"/>
    <w:rsid w:val="00CD2913"/>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TOCHeading">
    <w:name w:val="TOC Heading"/>
    <w:basedOn w:val="Heading1"/>
    <w:next w:val="Normal"/>
    <w:uiPriority w:val="39"/>
    <w:unhideWhenUsed/>
    <w:qFormat/>
    <w:rsid w:val="00FE7EB8"/>
    <w:pPr>
      <w:keepNext/>
      <w:keepLines/>
      <w:spacing w:before="240" w:after="0" w:line="259" w:lineRule="auto"/>
      <w:ind w:left="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FE7EB8"/>
    <w:pPr>
      <w:spacing w:after="100"/>
      <w:ind w:left="220"/>
    </w:pPr>
  </w:style>
  <w:style w:type="paragraph" w:styleId="TOC3">
    <w:name w:val="toc 3"/>
    <w:basedOn w:val="Normal"/>
    <w:next w:val="Normal"/>
    <w:autoRedefine/>
    <w:uiPriority w:val="39"/>
    <w:unhideWhenUsed/>
    <w:rsid w:val="003A349F"/>
    <w:pPr>
      <w:tabs>
        <w:tab w:val="left" w:pos="1100"/>
        <w:tab w:val="right" w:leader="dot" w:pos="9630"/>
      </w:tabs>
      <w:spacing w:after="100"/>
      <w:ind w:left="440"/>
    </w:pPr>
    <w:rPr>
      <w:b/>
      <w:noProof/>
      <w:lang w:val="en-GB"/>
    </w:rPr>
  </w:style>
  <w:style w:type="paragraph" w:styleId="TOC4">
    <w:name w:val="toc 4"/>
    <w:basedOn w:val="Normal"/>
    <w:next w:val="Normal"/>
    <w:autoRedefine/>
    <w:uiPriority w:val="39"/>
    <w:unhideWhenUsed/>
    <w:rsid w:val="00CD5A06"/>
    <w:pPr>
      <w:spacing w:after="100"/>
      <w:ind w:left="660"/>
    </w:pPr>
  </w:style>
  <w:style w:type="character" w:customStyle="1" w:styleId="A2">
    <w:name w:val="A2"/>
    <w:uiPriority w:val="99"/>
    <w:rsid w:val="00C830CB"/>
    <w:rPr>
      <w:rFonts w:cs="Optima"/>
      <w:color w:val="000000"/>
      <w:sz w:val="22"/>
      <w:szCs w:val="22"/>
    </w:rPr>
  </w:style>
  <w:style w:type="table" w:customStyle="1" w:styleId="MediumList2-Accent11">
    <w:name w:val="Medium List 2 - Accent 11"/>
    <w:basedOn w:val="TableNormal"/>
    <w:next w:val="MediumList2-Accent1"/>
    <w:uiPriority w:val="66"/>
    <w:rsid w:val="006D6109"/>
    <w:rPr>
      <w:rFonts w:ascii="Calibri Light" w:eastAsia="Times New Roman" w:hAnsi="Calibri Light"/>
      <w:color w:val="000000"/>
      <w:sz w:val="22"/>
      <w:szCs w:val="22"/>
      <w:lang w:val="fr-SN" w:eastAsia="fr-S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rsid w:val="00CA1402"/>
    <w:rPr>
      <w:rFonts w:ascii="Calibri Light" w:eastAsia="Times New Roman" w:hAnsi="Calibri Light"/>
      <w:color w:val="000000"/>
      <w:sz w:val="22"/>
      <w:szCs w:val="22"/>
      <w:lang w:val="fr-SN" w:eastAsia="fr-S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GridTable5Dark-Accent17">
    <w:name w:val="Grid Table 5 Dark - Accent 17"/>
    <w:basedOn w:val="TableNormal"/>
    <w:next w:val="GridTable5Dark-Accent1"/>
    <w:uiPriority w:val="50"/>
    <w:rsid w:val="006B1545"/>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8">
    <w:name w:val="Grid Table 5 Dark - Accent 18"/>
    <w:basedOn w:val="TableNormal"/>
    <w:next w:val="GridTable5Dark-Accent1"/>
    <w:uiPriority w:val="50"/>
    <w:rsid w:val="006B1545"/>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9">
    <w:name w:val="Grid Table 5 Dark - Accent 19"/>
    <w:basedOn w:val="TableNormal"/>
    <w:next w:val="GridTable5Dark-Accent1"/>
    <w:uiPriority w:val="50"/>
    <w:rsid w:val="005262C7"/>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0">
    <w:name w:val="Grid Table 5 Dark - Accent 110"/>
    <w:basedOn w:val="TableNormal"/>
    <w:next w:val="GridTable5Dark-Accent1"/>
    <w:uiPriority w:val="50"/>
    <w:rsid w:val="005028D8"/>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1">
    <w:name w:val="Grid Table 5 Dark - Accent 111"/>
    <w:basedOn w:val="TableNormal"/>
    <w:next w:val="GridTable5Dark-Accent1"/>
    <w:uiPriority w:val="50"/>
    <w:rsid w:val="00650773"/>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2">
    <w:name w:val="Grid Table 5 Dark - Accent 112"/>
    <w:basedOn w:val="TableNormal"/>
    <w:next w:val="GridTable5Dark-Accent1"/>
    <w:uiPriority w:val="50"/>
    <w:rsid w:val="00650773"/>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Caption">
    <w:name w:val="caption"/>
    <w:basedOn w:val="Normal"/>
    <w:next w:val="Normal"/>
    <w:uiPriority w:val="35"/>
    <w:unhideWhenUsed/>
    <w:qFormat/>
    <w:rsid w:val="00523851"/>
    <w:pPr>
      <w:spacing w:before="0" w:after="200"/>
      <w:ind w:left="0"/>
      <w:jc w:val="left"/>
    </w:pPr>
    <w:rPr>
      <w:rFonts w:eastAsiaTheme="minorHAnsi" w:cstheme="minorBidi"/>
      <w:i/>
      <w:iCs/>
      <w:color w:val="44546A" w:themeColor="text2"/>
      <w:sz w:val="18"/>
      <w:szCs w:val="18"/>
      <w:lang w:val="fr-FR" w:eastAsia="en-US"/>
    </w:rPr>
  </w:style>
  <w:style w:type="table" w:customStyle="1" w:styleId="GridTable1Light-Accent11">
    <w:name w:val="Grid Table 1 Light - Accent 11"/>
    <w:basedOn w:val="TableNormal"/>
    <w:next w:val="GridTable1Light-Accent1"/>
    <w:uiPriority w:val="46"/>
    <w:rsid w:val="00121C5D"/>
    <w:rPr>
      <w:rFonts w:ascii="Calibri" w:eastAsia="Calibri" w:hAnsi="Calibri" w:cs="Arial"/>
      <w:sz w:val="22"/>
      <w:szCs w:val="22"/>
      <w:lang w:val="fr-FR"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31"/>
    <w:qFormat/>
    <w:rsid w:val="00121C5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1C1DB5"/>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C1DB5"/>
  </w:style>
  <w:style w:type="table" w:customStyle="1" w:styleId="TableGrid2">
    <w:name w:val="Table Grid2"/>
    <w:basedOn w:val="TableNormal"/>
    <w:next w:val="TableGrid"/>
    <w:uiPriority w:val="39"/>
    <w:rsid w:val="00033040"/>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C649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5312">
      <w:bodyDiv w:val="1"/>
      <w:marLeft w:val="0"/>
      <w:marRight w:val="0"/>
      <w:marTop w:val="0"/>
      <w:marBottom w:val="0"/>
      <w:divBdr>
        <w:top w:val="none" w:sz="0" w:space="0" w:color="auto"/>
        <w:left w:val="none" w:sz="0" w:space="0" w:color="auto"/>
        <w:bottom w:val="none" w:sz="0" w:space="0" w:color="auto"/>
        <w:right w:val="none" w:sz="0" w:space="0" w:color="auto"/>
      </w:divBdr>
    </w:div>
    <w:div w:id="320426615">
      <w:bodyDiv w:val="1"/>
      <w:marLeft w:val="0"/>
      <w:marRight w:val="0"/>
      <w:marTop w:val="0"/>
      <w:marBottom w:val="0"/>
      <w:divBdr>
        <w:top w:val="none" w:sz="0" w:space="0" w:color="auto"/>
        <w:left w:val="none" w:sz="0" w:space="0" w:color="auto"/>
        <w:bottom w:val="none" w:sz="0" w:space="0" w:color="auto"/>
        <w:right w:val="none" w:sz="0" w:space="0" w:color="auto"/>
      </w:divBdr>
      <w:divsChild>
        <w:div w:id="646669820">
          <w:marLeft w:val="0"/>
          <w:marRight w:val="0"/>
          <w:marTop w:val="0"/>
          <w:marBottom w:val="0"/>
          <w:divBdr>
            <w:top w:val="none" w:sz="0" w:space="0" w:color="auto"/>
            <w:left w:val="none" w:sz="0" w:space="0" w:color="auto"/>
            <w:bottom w:val="none" w:sz="0" w:space="0" w:color="auto"/>
            <w:right w:val="none" w:sz="0" w:space="0" w:color="auto"/>
          </w:divBdr>
          <w:divsChild>
            <w:div w:id="2112583022">
              <w:marLeft w:val="0"/>
              <w:marRight w:val="0"/>
              <w:marTop w:val="0"/>
              <w:marBottom w:val="0"/>
              <w:divBdr>
                <w:top w:val="none" w:sz="0" w:space="0" w:color="auto"/>
                <w:left w:val="none" w:sz="0" w:space="0" w:color="auto"/>
                <w:bottom w:val="none" w:sz="0" w:space="0" w:color="auto"/>
                <w:right w:val="none" w:sz="0" w:space="0" w:color="auto"/>
              </w:divBdr>
              <w:divsChild>
                <w:div w:id="102190936">
                  <w:marLeft w:val="0"/>
                  <w:marRight w:val="0"/>
                  <w:marTop w:val="0"/>
                  <w:marBottom w:val="0"/>
                  <w:divBdr>
                    <w:top w:val="none" w:sz="0" w:space="0" w:color="auto"/>
                    <w:left w:val="none" w:sz="0" w:space="0" w:color="auto"/>
                    <w:bottom w:val="none" w:sz="0" w:space="0" w:color="auto"/>
                    <w:right w:val="none" w:sz="0" w:space="0" w:color="auto"/>
                  </w:divBdr>
                  <w:divsChild>
                    <w:div w:id="20199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8421">
      <w:bodyDiv w:val="1"/>
      <w:marLeft w:val="0"/>
      <w:marRight w:val="0"/>
      <w:marTop w:val="0"/>
      <w:marBottom w:val="0"/>
      <w:divBdr>
        <w:top w:val="none" w:sz="0" w:space="0" w:color="auto"/>
        <w:left w:val="none" w:sz="0" w:space="0" w:color="auto"/>
        <w:bottom w:val="none" w:sz="0" w:space="0" w:color="auto"/>
        <w:right w:val="none" w:sz="0" w:space="0" w:color="auto"/>
      </w:divBdr>
    </w:div>
    <w:div w:id="767895262">
      <w:bodyDiv w:val="1"/>
      <w:marLeft w:val="0"/>
      <w:marRight w:val="0"/>
      <w:marTop w:val="0"/>
      <w:marBottom w:val="0"/>
      <w:divBdr>
        <w:top w:val="none" w:sz="0" w:space="0" w:color="auto"/>
        <w:left w:val="none" w:sz="0" w:space="0" w:color="auto"/>
        <w:bottom w:val="none" w:sz="0" w:space="0" w:color="auto"/>
        <w:right w:val="none" w:sz="0" w:space="0" w:color="auto"/>
      </w:divBdr>
    </w:div>
    <w:div w:id="959383259">
      <w:bodyDiv w:val="1"/>
      <w:marLeft w:val="0"/>
      <w:marRight w:val="0"/>
      <w:marTop w:val="0"/>
      <w:marBottom w:val="0"/>
      <w:divBdr>
        <w:top w:val="none" w:sz="0" w:space="0" w:color="auto"/>
        <w:left w:val="none" w:sz="0" w:space="0" w:color="auto"/>
        <w:bottom w:val="none" w:sz="0" w:space="0" w:color="auto"/>
        <w:right w:val="none" w:sz="0" w:space="0" w:color="auto"/>
      </w:divBdr>
    </w:div>
    <w:div w:id="1088572950">
      <w:bodyDiv w:val="1"/>
      <w:marLeft w:val="0"/>
      <w:marRight w:val="0"/>
      <w:marTop w:val="0"/>
      <w:marBottom w:val="0"/>
      <w:divBdr>
        <w:top w:val="none" w:sz="0" w:space="0" w:color="auto"/>
        <w:left w:val="none" w:sz="0" w:space="0" w:color="auto"/>
        <w:bottom w:val="none" w:sz="0" w:space="0" w:color="auto"/>
        <w:right w:val="none" w:sz="0" w:space="0" w:color="auto"/>
      </w:divBdr>
    </w:div>
    <w:div w:id="1134517003">
      <w:bodyDiv w:val="1"/>
      <w:marLeft w:val="0"/>
      <w:marRight w:val="0"/>
      <w:marTop w:val="0"/>
      <w:marBottom w:val="0"/>
      <w:divBdr>
        <w:top w:val="none" w:sz="0" w:space="0" w:color="auto"/>
        <w:left w:val="none" w:sz="0" w:space="0" w:color="auto"/>
        <w:bottom w:val="none" w:sz="0" w:space="0" w:color="auto"/>
        <w:right w:val="none" w:sz="0" w:space="0" w:color="auto"/>
      </w:divBdr>
    </w:div>
    <w:div w:id="1336377166">
      <w:bodyDiv w:val="1"/>
      <w:marLeft w:val="0"/>
      <w:marRight w:val="0"/>
      <w:marTop w:val="0"/>
      <w:marBottom w:val="0"/>
      <w:divBdr>
        <w:top w:val="none" w:sz="0" w:space="0" w:color="auto"/>
        <w:left w:val="none" w:sz="0" w:space="0" w:color="auto"/>
        <w:bottom w:val="none" w:sz="0" w:space="0" w:color="auto"/>
        <w:right w:val="none" w:sz="0" w:space="0" w:color="auto"/>
      </w:divBdr>
    </w:div>
    <w:div w:id="1449859871">
      <w:bodyDiv w:val="1"/>
      <w:marLeft w:val="0"/>
      <w:marRight w:val="0"/>
      <w:marTop w:val="0"/>
      <w:marBottom w:val="0"/>
      <w:divBdr>
        <w:top w:val="none" w:sz="0" w:space="0" w:color="auto"/>
        <w:left w:val="none" w:sz="0" w:space="0" w:color="auto"/>
        <w:bottom w:val="none" w:sz="0" w:space="0" w:color="auto"/>
        <w:right w:val="none" w:sz="0" w:space="0" w:color="auto"/>
      </w:divBdr>
    </w:div>
    <w:div w:id="1896743426">
      <w:bodyDiv w:val="1"/>
      <w:marLeft w:val="0"/>
      <w:marRight w:val="0"/>
      <w:marTop w:val="0"/>
      <w:marBottom w:val="0"/>
      <w:divBdr>
        <w:top w:val="none" w:sz="0" w:space="0" w:color="auto"/>
        <w:left w:val="none" w:sz="0" w:space="0" w:color="auto"/>
        <w:bottom w:val="none" w:sz="0" w:space="0" w:color="auto"/>
        <w:right w:val="none" w:sz="0" w:space="0" w:color="auto"/>
      </w:divBdr>
    </w:div>
    <w:div w:id="213058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12.jfif"/><Relationship Id="rId1" Type="http://schemas.openxmlformats.org/officeDocument/2006/relationships/image" Target="media/image11.jfif"/></Relationships>
</file>

<file path=word/_rels/footer5.xml.rels><?xml version="1.0" encoding="UTF-8" standalone="yes"?>
<Relationships xmlns="http://schemas.openxmlformats.org/package/2006/relationships"><Relationship Id="rId2" Type="http://schemas.openxmlformats.org/officeDocument/2006/relationships/image" Target="media/image12.jfif"/><Relationship Id="rId1" Type="http://schemas.openxmlformats.org/officeDocument/2006/relationships/image" Target="media/image11.jfif"/></Relationships>
</file>

<file path=word/_rels/header2.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6" Type="http://schemas.openxmlformats.org/officeDocument/2006/relationships/image" Target="media/image12.jfif"/><Relationship Id="rId5" Type="http://schemas.openxmlformats.org/officeDocument/2006/relationships/image" Target="media/image11.jfif"/><Relationship Id="rId4" Type="http://schemas.openxmlformats.org/officeDocument/2006/relationships/image" Target="media/image10.jpg"/></Relationships>
</file>

<file path=word/_rels/header4.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_rels/header5.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056027996500438"/>
          <c:y val="8.2179930460721931E-2"/>
          <c:w val="0.38409746281714785"/>
          <c:h val="0.8504002866800322"/>
        </c:manualLayout>
      </c:layout>
      <c:pieChart>
        <c:varyColors val="1"/>
        <c:ser>
          <c:idx val="0"/>
          <c:order val="0"/>
          <c:tx>
            <c:strRef>
              <c:f>Sheet1!$B$1</c:f>
              <c:strCache>
                <c:ptCount val="1"/>
                <c:pt idx="0">
                  <c:v>Sales</c:v>
                </c:pt>
              </c:strCache>
            </c:strRef>
          </c:tx>
          <c:dPt>
            <c:idx val="0"/>
            <c:bubble3D val="0"/>
            <c:spPr>
              <a:pattFill prst="pct90">
                <a:fgClr>
                  <a:sysClr val="windowText" lastClr="000000"/>
                </a:fgClr>
                <a:bgClr>
                  <a:schemeClr val="bg1"/>
                </a:bgClr>
              </a:pattFill>
              <a:ln w="19050">
                <a:solidFill>
                  <a:schemeClr val="lt1"/>
                </a:solidFill>
              </a:ln>
              <a:effectLst/>
            </c:spPr>
            <c:extLst>
              <c:ext xmlns:c16="http://schemas.microsoft.com/office/drawing/2014/chart" uri="{C3380CC4-5D6E-409C-BE32-E72D297353CC}">
                <c16:uniqueId val="{00000001-8F24-48F0-88C1-A7651660087A}"/>
              </c:ext>
            </c:extLst>
          </c:dPt>
          <c:dPt>
            <c:idx val="1"/>
            <c:bubble3D val="0"/>
            <c:spPr>
              <a:pattFill prst="dkDnDiag">
                <a:fgClr>
                  <a:schemeClr val="tx1"/>
                </a:fgClr>
                <a:bgClr>
                  <a:schemeClr val="bg1"/>
                </a:bgClr>
              </a:pattFill>
              <a:ln w="19050">
                <a:solidFill>
                  <a:schemeClr val="lt1"/>
                </a:solidFill>
              </a:ln>
              <a:effectLst/>
            </c:spPr>
            <c:extLst>
              <c:ext xmlns:c16="http://schemas.microsoft.com/office/drawing/2014/chart" uri="{C3380CC4-5D6E-409C-BE32-E72D297353CC}">
                <c16:uniqueId val="{00000003-8F24-48F0-88C1-A7651660087A}"/>
              </c:ext>
            </c:extLst>
          </c:dPt>
          <c:dPt>
            <c:idx val="2"/>
            <c:bubble3D val="0"/>
            <c:spPr>
              <a:pattFill prst="pct10">
                <a:fgClr>
                  <a:schemeClr val="tx1"/>
                </a:fgClr>
                <a:bgClr>
                  <a:schemeClr val="bg1"/>
                </a:bgClr>
              </a:pattFill>
              <a:ln w="19050">
                <a:solidFill>
                  <a:schemeClr val="lt1"/>
                </a:solidFill>
              </a:ln>
              <a:effectLst/>
            </c:spPr>
            <c:extLst>
              <c:ext xmlns:c16="http://schemas.microsoft.com/office/drawing/2014/chart" uri="{C3380CC4-5D6E-409C-BE32-E72D297353CC}">
                <c16:uniqueId val="{00000005-8F24-48F0-88C1-A7651660087A}"/>
              </c:ext>
            </c:extLst>
          </c:dPt>
          <c:dPt>
            <c:idx val="3"/>
            <c:bubble3D val="0"/>
            <c:spPr>
              <a:pattFill prst="dkHorz">
                <a:fgClr>
                  <a:schemeClr val="tx1"/>
                </a:fgClr>
                <a:bgClr>
                  <a:schemeClr val="bg1"/>
                </a:bgClr>
              </a:pattFill>
              <a:ln w="19050">
                <a:solidFill>
                  <a:schemeClr val="lt1"/>
                </a:solidFill>
              </a:ln>
              <a:effectLst/>
            </c:spPr>
            <c:extLst>
              <c:ext xmlns:c16="http://schemas.microsoft.com/office/drawing/2014/chart" uri="{C3380CC4-5D6E-409C-BE32-E72D297353CC}">
                <c16:uniqueId val="{00000007-8F24-48F0-88C1-A7651660087A}"/>
              </c:ext>
            </c:extLst>
          </c:dPt>
          <c:dLbls>
            <c:dLbl>
              <c:idx val="0"/>
              <c:tx>
                <c:rich>
                  <a:bodyPr/>
                  <a:lstStyle/>
                  <a:p>
                    <a:fld id="{504B05E8-AED8-421A-82C4-E31B0B6CFDF9}" type="CATEGORYNAME">
                      <a:rPr lang="en-US"/>
                      <a:pPr/>
                      <a:t>[CATEGORY NAME]</a:t>
                    </a:fld>
                    <a:r>
                      <a:rPr lang="en-US" baseline="0"/>
                      <a:t>, </a:t>
                    </a:r>
                    <a:fld id="{780E294C-45B1-4249-82F2-6AB8AE4C84B8}"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F24-48F0-88C1-A7651660087A}"/>
                </c:ext>
              </c:extLst>
            </c:dLbl>
            <c:dLbl>
              <c:idx val="1"/>
              <c:tx>
                <c:rich>
                  <a:bodyPr/>
                  <a:lstStyle/>
                  <a:p>
                    <a:fld id="{AF9D88A2-07F5-43AC-8DFC-D604B0A17C10}" type="CATEGORYNAME">
                      <a:rPr lang="en-US"/>
                      <a:pPr/>
                      <a:t>[CATEGORY NAME]</a:t>
                    </a:fld>
                    <a:r>
                      <a:rPr lang="en-US" baseline="0"/>
                      <a:t>, </a:t>
                    </a:r>
                    <a:fld id="{C4E3A492-E4BC-4D87-B42F-D66F4AD62000}"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24-48F0-88C1-A7651660087A}"/>
                </c:ext>
              </c:extLst>
            </c:dLbl>
            <c:dLbl>
              <c:idx val="2"/>
              <c:layout>
                <c:manualLayout>
                  <c:x val="-2.3391812865497099E-2"/>
                  <c:y val="7.7192982456140341E-2"/>
                </c:manualLayout>
              </c:layout>
              <c:tx>
                <c:rich>
                  <a:bodyPr/>
                  <a:lstStyle/>
                  <a:p>
                    <a:fld id="{5C2BE0D5-3612-4F7B-83DF-3B2158C64387}" type="CATEGORYNAME">
                      <a:rPr lang="en-US"/>
                      <a:pPr/>
                      <a:t>[CATEGORY NAME]</a:t>
                    </a:fld>
                    <a:r>
                      <a:rPr lang="en-US" baseline="0"/>
                      <a:t>, </a:t>
                    </a:r>
                    <a:fld id="{E8635010-AECC-4195-A987-A458EF67E41E}"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24-48F0-88C1-A7651660087A}"/>
                </c:ext>
              </c:extLst>
            </c:dLbl>
            <c:dLbl>
              <c:idx val="3"/>
              <c:tx>
                <c:rich>
                  <a:bodyPr/>
                  <a:lstStyle/>
                  <a:p>
                    <a:fld id="{BCB8DA94-E7E5-4460-89D9-60AA38E3A6AB}" type="CATEGORYNAME">
                      <a:rPr lang="en-US"/>
                      <a:pPr/>
                      <a:t>[CATEGORY NAME]</a:t>
                    </a:fld>
                    <a:r>
                      <a:rPr lang="en-US" baseline="0"/>
                      <a:t>, </a:t>
                    </a:r>
                    <a:fld id="{C0DFEFED-B2D4-4F99-A673-6A792F2ACCF4}"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F24-48F0-88C1-A765166008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CH"/>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Urban water supply</c:v>
                </c:pt>
                <c:pt idx="1">
                  <c:v>Rural water supply</c:v>
                </c:pt>
                <c:pt idx="2">
                  <c:v>Industry and agriculture</c:v>
                </c:pt>
                <c:pt idx="3">
                  <c:v>Mines</c:v>
                </c:pt>
              </c:strCache>
            </c:strRef>
          </c:cat>
          <c:val>
            <c:numRef>
              <c:f>Sheet1!$B$2:$B$5</c:f>
              <c:numCache>
                <c:formatCode>General</c:formatCode>
                <c:ptCount val="4"/>
                <c:pt idx="0">
                  <c:v>45.9</c:v>
                </c:pt>
                <c:pt idx="1">
                  <c:v>36.1</c:v>
                </c:pt>
                <c:pt idx="2">
                  <c:v>9.5</c:v>
                </c:pt>
                <c:pt idx="3">
                  <c:v>8.5</c:v>
                </c:pt>
              </c:numCache>
            </c:numRef>
          </c:val>
          <c:extLst>
            <c:ext xmlns:c16="http://schemas.microsoft.com/office/drawing/2014/chart" uri="{C3380CC4-5D6E-409C-BE32-E72D297353CC}">
              <c16:uniqueId val="{00000008-8F24-48F0-88C1-A7651660087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C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FF23057F70248841BB6BF42DA4F38" ma:contentTypeVersion="13" ma:contentTypeDescription="Create a new document." ma:contentTypeScope="" ma:versionID="4ec25be8b2884ab4669e51632daa201f">
  <xsd:schema xmlns:xsd="http://www.w3.org/2001/XMLSchema" xmlns:xs="http://www.w3.org/2001/XMLSchema" xmlns:p="http://schemas.microsoft.com/office/2006/metadata/properties" xmlns:ns2="efcde4b6-0976-48cc-a637-59ff6e92693d" xmlns:ns3="caf5c767-f39c-48b0-bcf6-6a8d6dcf00f1" targetNamespace="http://schemas.microsoft.com/office/2006/metadata/properties" ma:root="true" ma:fieldsID="0e1de403e16ed0adfdf0b61ccb145ca8" ns2:_="" ns3:_="">
    <xsd:import namespace="efcde4b6-0976-48cc-a637-59ff6e92693d"/>
    <xsd:import namespace="caf5c767-f39c-48b0-bcf6-6a8d6dcf00f1"/>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de4b6-0976-48cc-a637-59ff6e92693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f5c767-f39c-48b0-bcf6-6a8d6dcf00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47781-C89E-4DDB-A30A-D3502A2F1144}"/>
</file>

<file path=customXml/itemProps2.xml><?xml version="1.0" encoding="utf-8"?>
<ds:datastoreItem xmlns:ds="http://schemas.openxmlformats.org/officeDocument/2006/customXml" ds:itemID="{E99F8045-B989-4DB4-AC2E-B40CC95072FE}">
  <ds:schemaRefs>
    <ds:schemaRef ds:uri="http://schemas.microsoft.com/sharepoint/v3/contenttype/forms"/>
  </ds:schemaRefs>
</ds:datastoreItem>
</file>

<file path=customXml/itemProps3.xml><?xml version="1.0" encoding="utf-8"?>
<ds:datastoreItem xmlns:ds="http://schemas.openxmlformats.org/officeDocument/2006/customXml" ds:itemID="{AAAF6230-4FE8-439C-BB76-3971808E5F7C}">
  <ds:schemaRefs>
    <ds:schemaRef ds:uri="http://schemas.openxmlformats.org/officeDocument/2006/bibliography"/>
  </ds:schemaRefs>
</ds:datastoreItem>
</file>

<file path=customXml/itemProps4.xml><?xml version="1.0" encoding="utf-8"?>
<ds:datastoreItem xmlns:ds="http://schemas.openxmlformats.org/officeDocument/2006/customXml" ds:itemID="{A34ADED5-FE7C-4668-8BA0-5CC30E0DD016}">
  <ds:schemaRefs>
    <ds:schemaRef ds:uri="http://schemas.microsoft.com/office/2006/metadata/properties"/>
    <ds:schemaRef ds:uri="http://schemas.microsoft.com/office/infopath/2007/PartnerControls"/>
    <ds:schemaRef ds:uri="ee6477f5-d683-465b-af7c-b7938d99c0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7058</Words>
  <Characters>40234</Characters>
  <Application>Microsoft Office Word</Application>
  <DocSecurity>0</DocSecurity>
  <Lines>335</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IUKB</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Bréthaut</dc:creator>
  <cp:keywords/>
  <dc:description/>
  <cp:lastModifiedBy>Jean Willemin</cp:lastModifiedBy>
  <cp:revision>3</cp:revision>
  <cp:lastPrinted>2020-10-16T06:45:00Z</cp:lastPrinted>
  <dcterms:created xsi:type="dcterms:W3CDTF">2020-11-27T11:33:00Z</dcterms:created>
  <dcterms:modified xsi:type="dcterms:W3CDTF">2021-12-17T10:06:00Z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0x010100342FF23057F70248841BB6BF42DA4F38</vt:lpwstr>
  </property>
</Properties>
</file>